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076DD122"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7D74D607" w:rsidR="003E7341" w:rsidRPr="00F213B1" w:rsidRDefault="003E7341" w:rsidP="003E7341">
            <w:pPr>
              <w:rPr>
                <w:sz w:val="22"/>
                <w:szCs w:val="22"/>
              </w:rPr>
            </w:pP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w:t>
            </w:r>
            <w:proofErr w:type="gramStart"/>
            <w:r w:rsidRPr="00ED723E">
              <w:rPr>
                <w:sz w:val="22"/>
                <w:u w:val="single"/>
              </w:rPr>
              <w:t>type;</w:t>
            </w:r>
            <w:proofErr w:type="gramEnd"/>
            <w:r w:rsidRPr="00ED723E">
              <w:rPr>
                <w:sz w:val="22"/>
                <w:u w:val="single"/>
              </w:rPr>
              <w:t xml:space="preserv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AD6EB4"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AD6EB4" w:rsidRDefault="00CE1A5A" w:rsidP="00A2293D">
            <w:pPr>
              <w:rPr>
                <w:b/>
                <w:szCs w:val="24"/>
              </w:rPr>
            </w:pPr>
            <w:r w:rsidRPr="00AD6EB4">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29CACB45" w:rsidR="00A2293D" w:rsidRPr="00AD6EB4" w:rsidRDefault="00A2293D" w:rsidP="00AD6EB4">
            <w:pPr>
              <w:rPr>
                <w:b/>
                <w:szCs w:val="24"/>
              </w:rPr>
            </w:pPr>
            <w:r w:rsidRPr="00AD6EB4">
              <w:rPr>
                <w:rFonts w:asciiTheme="majorHAnsi" w:hAnsiTheme="majorHAnsi"/>
                <w:b/>
              </w:rPr>
              <w:t>BOVINE</w:t>
            </w:r>
            <w:r w:rsidR="008B5770" w:rsidRPr="00AD6EB4">
              <w:rPr>
                <w:rFonts w:asciiTheme="majorHAnsi" w:hAnsiTheme="majorHAnsi"/>
                <w:b/>
              </w:rPr>
              <w:t xml:space="preserve"> </w:t>
            </w:r>
            <w:r w:rsidR="00AD6EB4" w:rsidRPr="00AD6EB4">
              <w:rPr>
                <w:rFonts w:asciiTheme="majorHAnsi" w:hAnsiTheme="majorHAnsi"/>
                <w:b/>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AD6EB4" w:rsidRDefault="00A2293D" w:rsidP="00A2293D">
            <w:pPr>
              <w:rPr>
                <w:b/>
                <w:szCs w:val="24"/>
              </w:rPr>
            </w:pPr>
            <w:r w:rsidRPr="00AD6EB4">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AD6EB4" w:rsidRDefault="00A2293D" w:rsidP="00A2293D">
            <w:pPr>
              <w:rPr>
                <w:b/>
                <w:szCs w:val="24"/>
              </w:rPr>
            </w:pPr>
            <w:r w:rsidRPr="00AD6EB4">
              <w:rPr>
                <w:rFonts w:asciiTheme="majorHAnsi" w:hAnsiTheme="majorHAnsi"/>
                <w:b/>
              </w:rPr>
              <w:t>SEE ATTACHED</w:t>
            </w:r>
          </w:p>
        </w:tc>
      </w:tr>
      <w:tr w:rsidR="00A2293D" w:rsidRPr="00AD6EB4"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AD6EB4"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AD6EB4"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AD6EB4"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AD6EB4" w:rsidRDefault="00A2293D" w:rsidP="00A2293D">
            <w:pPr>
              <w:rPr>
                <w:b/>
                <w:szCs w:val="24"/>
              </w:rPr>
            </w:pPr>
          </w:p>
        </w:tc>
      </w:tr>
    </w:tbl>
    <w:p w14:paraId="001B1716" w14:textId="77777777" w:rsidR="00F64F75" w:rsidRPr="00AD6EB4" w:rsidRDefault="00F64F75"/>
    <w:p w14:paraId="3C4746E9" w14:textId="77777777" w:rsidR="00A47F70" w:rsidRPr="00AD6EB4" w:rsidRDefault="00A47F70"/>
    <w:p w14:paraId="157824B3" w14:textId="77777777" w:rsidR="00A47F70" w:rsidRPr="00AD6EB4" w:rsidRDefault="00A47F70"/>
    <w:p w14:paraId="3D24A884" w14:textId="77777777" w:rsidR="00A47F70" w:rsidRPr="00AD6EB4" w:rsidRDefault="00A47F70"/>
    <w:p w14:paraId="4261A05A" w14:textId="77777777" w:rsidR="00A47F70" w:rsidRPr="00AD6EB4"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Pr="00AD6EB4" w:rsidRDefault="009B0A78">
            <w:pPr>
              <w:tabs>
                <w:tab w:val="left" w:pos="1755"/>
              </w:tabs>
              <w:rPr>
                <w:sz w:val="22"/>
              </w:rPr>
            </w:pPr>
          </w:p>
          <w:p w14:paraId="6BD2C2AC" w14:textId="440459E9" w:rsidR="00A928A5" w:rsidRPr="00A928A5" w:rsidRDefault="009B0A78" w:rsidP="004E7D36">
            <w:pPr>
              <w:tabs>
                <w:tab w:val="left" w:pos="1755"/>
              </w:tabs>
              <w:rPr>
                <w:szCs w:val="24"/>
              </w:rPr>
            </w:pPr>
            <w:r w:rsidRPr="00AD6EB4">
              <w:rPr>
                <w:szCs w:val="24"/>
              </w:rPr>
              <w:t xml:space="preserve">I, Dr </w:t>
            </w:r>
            <w:r w:rsidR="0002646F" w:rsidRPr="00AD6EB4">
              <w:rPr>
                <w:szCs w:val="24"/>
              </w:rPr>
              <w:t>………</w:t>
            </w:r>
            <w:r w:rsidRPr="00AD6EB4">
              <w:rPr>
                <w:szCs w:val="24"/>
              </w:rPr>
              <w:t xml:space="preserve">, an </w:t>
            </w:r>
            <w:proofErr w:type="gramStart"/>
            <w:r w:rsidRPr="00AD6EB4">
              <w:rPr>
                <w:szCs w:val="24"/>
              </w:rPr>
              <w:t>approved</w:t>
            </w:r>
            <w:r w:rsidR="00CB2F9D" w:rsidRPr="00AD6EB4">
              <w:rPr>
                <w:szCs w:val="24"/>
              </w:rPr>
              <w:t xml:space="preserve"> </w:t>
            </w:r>
            <w:r w:rsidRPr="00AD6EB4">
              <w:rPr>
                <w:szCs w:val="24"/>
              </w:rPr>
              <w:t xml:space="preserve"> </w:t>
            </w:r>
            <w:r w:rsidR="0002646F" w:rsidRPr="00AD6EB4">
              <w:rPr>
                <w:szCs w:val="24"/>
              </w:rPr>
              <w:t>…</w:t>
            </w:r>
            <w:proofErr w:type="gramEnd"/>
            <w:r w:rsidR="0002646F" w:rsidRPr="00AD6EB4">
              <w:rPr>
                <w:szCs w:val="24"/>
              </w:rPr>
              <w:t xml:space="preserve">………  </w:t>
            </w:r>
            <w:r w:rsidRPr="00AD6EB4">
              <w:rPr>
                <w:szCs w:val="24"/>
              </w:rPr>
              <w:t xml:space="preserve">(Name of SCC) </w:t>
            </w:r>
            <w:proofErr w:type="gramStart"/>
            <w:r w:rsidRPr="00AD6EB4">
              <w:rPr>
                <w:szCs w:val="24"/>
              </w:rPr>
              <w:t>SCC</w:t>
            </w:r>
            <w:r w:rsidR="004E7D36" w:rsidRPr="00AD6EB4">
              <w:rPr>
                <w:szCs w:val="24"/>
              </w:rPr>
              <w:t>’s</w:t>
            </w:r>
            <w:r w:rsidR="005538CF" w:rsidRPr="00AD6EB4">
              <w:rPr>
                <w:szCs w:val="24"/>
              </w:rPr>
              <w:t xml:space="preserve"> </w:t>
            </w:r>
            <w:r w:rsidR="00AD6EB4" w:rsidRPr="00AD6EB4">
              <w:rPr>
                <w:szCs w:val="24"/>
              </w:rPr>
              <w:t xml:space="preserve"> </w:t>
            </w:r>
            <w:r w:rsidR="003B4CA6" w:rsidRPr="00AD6EB4">
              <w:rPr>
                <w:szCs w:val="24"/>
              </w:rPr>
              <w:t>Veterinarian</w:t>
            </w:r>
            <w:proofErr w:type="gramEnd"/>
            <w:r w:rsidR="00161D06" w:rsidRPr="00AD6EB4">
              <w:rPr>
                <w:szCs w:val="24"/>
              </w:rPr>
              <w:t>,</w:t>
            </w:r>
            <w:r w:rsidR="00A928A5" w:rsidRPr="00AD6EB4">
              <w:rPr>
                <w:szCs w:val="24"/>
              </w:rPr>
              <w:t xml:space="preserve"> </w:t>
            </w:r>
            <w:r w:rsidR="004E7D36" w:rsidRPr="00AD6EB4">
              <w:rPr>
                <w:szCs w:val="24"/>
              </w:rPr>
              <w:t xml:space="preserve">declare that the </w:t>
            </w:r>
            <w:r w:rsidR="00A928A5" w:rsidRPr="00AD6EB4">
              <w:rPr>
                <w:szCs w:val="24"/>
              </w:rPr>
              <w:t>goods</w:t>
            </w:r>
            <w:r w:rsidR="004E7D36" w:rsidRPr="00AD6EB4">
              <w:rPr>
                <w:szCs w:val="24"/>
              </w:rPr>
              <w:t xml:space="preserve"> described in the following page</w:t>
            </w:r>
            <w:r w:rsidR="00A928A5" w:rsidRPr="00AD6EB4">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15A4E0DC" w14:textId="77777777" w:rsidR="00220D8E" w:rsidRDefault="00F213B1" w:rsidP="00220D8E">
            <w:pPr>
              <w:rPr>
                <w:rFonts w:asciiTheme="minorHAnsi" w:hAnsiTheme="minorHAnsi"/>
                <w:szCs w:val="24"/>
                <w:lang w:val="en-US" w:eastAsia="en-AU"/>
              </w:rPr>
            </w:pPr>
            <w:r>
              <w:rPr>
                <w:rFonts w:ascii="Cambria" w:hAnsi="Cambria"/>
                <w:b/>
                <w:sz w:val="22"/>
                <w:szCs w:val="22"/>
                <w:lang w:val="en-US" w:eastAsia="fr-FR"/>
              </w:rPr>
              <w:lastRenderedPageBreak/>
              <w:t xml:space="preserve"> </w:t>
            </w:r>
          </w:p>
          <w:p w14:paraId="71530B05" w14:textId="77777777" w:rsidR="00220D8E" w:rsidRPr="00C41F4C" w:rsidRDefault="00220D8E" w:rsidP="00220D8E">
            <w:pPr>
              <w:rPr>
                <w:rFonts w:asciiTheme="minorHAnsi" w:hAnsiTheme="minorHAnsi"/>
                <w:szCs w:val="24"/>
                <w:lang w:val="en-US" w:eastAsia="en-AU"/>
              </w:rPr>
            </w:pPr>
          </w:p>
          <w:p w14:paraId="19DABA60" w14:textId="77777777" w:rsidR="00220D8E" w:rsidRPr="008E1C9D" w:rsidRDefault="00220D8E" w:rsidP="00220D8E">
            <w:pPr>
              <w:numPr>
                <w:ilvl w:val="0"/>
                <w:numId w:val="17"/>
              </w:numPr>
              <w:spacing w:line="360" w:lineRule="auto"/>
              <w:jc w:val="both"/>
              <w:rPr>
                <w:rFonts w:ascii="Calibri" w:hAnsi="Calibri" w:cs="Arial"/>
                <w:szCs w:val="24"/>
                <w:lang w:val="es-AR"/>
              </w:rPr>
            </w:pPr>
            <w:r w:rsidRPr="008E1C9D">
              <w:rPr>
                <w:rFonts w:ascii="Calibri" w:hAnsi="Calibri" w:cs="Arial"/>
                <w:szCs w:val="24"/>
                <w:lang w:val="es-AR"/>
              </w:rPr>
              <w:t xml:space="preserve">El semen proviene de animales nacidos y criados en Australia, o que han permanecido en Australia por lo menos durante los 24 meses previos a la recolección de semen. </w:t>
            </w:r>
          </w:p>
          <w:p w14:paraId="772CBC94" w14:textId="77777777" w:rsidR="00220D8E" w:rsidRPr="0025440D" w:rsidRDefault="00220D8E" w:rsidP="00220D8E">
            <w:pPr>
              <w:spacing w:after="120" w:line="360" w:lineRule="auto"/>
              <w:ind w:left="360"/>
              <w:jc w:val="both"/>
              <w:rPr>
                <w:rFonts w:ascii="Calibri" w:hAnsi="Calibri" w:cs="Arial"/>
                <w:i/>
                <w:szCs w:val="24"/>
              </w:rPr>
            </w:pPr>
            <w:r w:rsidRPr="0025440D">
              <w:rPr>
                <w:rFonts w:ascii="Calibri" w:hAnsi="Calibri" w:cs="Arial"/>
                <w:i/>
                <w:szCs w:val="24"/>
              </w:rPr>
              <w:t>The semen was derived from animals born and raised in Australia, or that have remained at least for 24 months in Australia prior to semen collection.</w:t>
            </w:r>
          </w:p>
          <w:p w14:paraId="0A4B7374" w14:textId="77777777" w:rsidR="00220D8E" w:rsidRPr="008E1C9D" w:rsidRDefault="00220D8E" w:rsidP="00220D8E">
            <w:pPr>
              <w:numPr>
                <w:ilvl w:val="0"/>
                <w:numId w:val="17"/>
              </w:numPr>
              <w:spacing w:line="360" w:lineRule="auto"/>
              <w:jc w:val="both"/>
              <w:rPr>
                <w:rFonts w:ascii="Calibri" w:hAnsi="Calibri" w:cs="Arial"/>
                <w:szCs w:val="24"/>
                <w:lang w:val="es-AR"/>
              </w:rPr>
            </w:pPr>
            <w:r w:rsidRPr="008E1C9D">
              <w:rPr>
                <w:rFonts w:ascii="Calibri" w:hAnsi="Calibri" w:cs="Arial"/>
                <w:szCs w:val="24"/>
                <w:lang w:val="es-AR"/>
              </w:rPr>
              <w:t xml:space="preserve">El Centro de Inseminación Artificial en el permanecen los reproductores ha sido debidamente autorizado por el Servicio Veterinario de Australia, y cumple con los requisitos sanitarios para la exportación recomendados por la OIE. </w:t>
            </w:r>
          </w:p>
          <w:p w14:paraId="0B98DC05" w14:textId="77777777" w:rsidR="00220D8E" w:rsidRPr="0025440D" w:rsidRDefault="00220D8E" w:rsidP="00220D8E">
            <w:pPr>
              <w:spacing w:after="120" w:line="360" w:lineRule="auto"/>
              <w:ind w:left="360"/>
              <w:jc w:val="both"/>
              <w:rPr>
                <w:rFonts w:ascii="Calibri" w:hAnsi="Calibri" w:cs="Arial"/>
                <w:i/>
                <w:szCs w:val="24"/>
              </w:rPr>
            </w:pPr>
            <w:r w:rsidRPr="0025440D">
              <w:rPr>
                <w:rFonts w:ascii="Calibri" w:hAnsi="Calibri" w:cs="Arial"/>
                <w:i/>
                <w:szCs w:val="24"/>
              </w:rPr>
              <w:t xml:space="preserve">The Artificial Insemination Centre where the sire(s) are kept has been properly authorised by the Veterinary Service of </w:t>
            </w:r>
            <w:proofErr w:type="gramStart"/>
            <w:r w:rsidRPr="0025440D">
              <w:rPr>
                <w:rFonts w:ascii="Calibri" w:hAnsi="Calibri" w:cs="Arial"/>
                <w:i/>
                <w:szCs w:val="24"/>
              </w:rPr>
              <w:t>Australia, and</w:t>
            </w:r>
            <w:proofErr w:type="gramEnd"/>
            <w:r w:rsidRPr="0025440D">
              <w:rPr>
                <w:rFonts w:ascii="Calibri" w:hAnsi="Calibri" w:cs="Arial"/>
                <w:i/>
                <w:szCs w:val="24"/>
              </w:rPr>
              <w:t xml:space="preserve"> complies with the sanitary guidelines recommended by the OIE for export.</w:t>
            </w:r>
          </w:p>
          <w:p w14:paraId="023D6C1C" w14:textId="77777777" w:rsidR="00220D8E" w:rsidRPr="00C41F4C" w:rsidRDefault="00220D8E" w:rsidP="00220D8E">
            <w:pPr>
              <w:numPr>
                <w:ilvl w:val="0"/>
                <w:numId w:val="17"/>
              </w:numPr>
              <w:spacing w:line="360" w:lineRule="auto"/>
              <w:jc w:val="both"/>
              <w:rPr>
                <w:rFonts w:ascii="Calibri" w:hAnsi="Calibri" w:cs="Arial"/>
                <w:strike/>
                <w:szCs w:val="24"/>
                <w:lang w:val="es-AR"/>
              </w:rPr>
            </w:pPr>
            <w:r w:rsidRPr="00C41F4C">
              <w:rPr>
                <w:rFonts w:ascii="Calibri" w:hAnsi="Calibri" w:cs="Arial"/>
                <w:strike/>
                <w:szCs w:val="24"/>
                <w:lang w:val="es-AR"/>
              </w:rPr>
              <w:t>Australia se encuentra libre de peste bovina, peste de los pequeños rumiantes y fiebre del Valle del Rift.</w:t>
            </w:r>
          </w:p>
          <w:p w14:paraId="09691BCF" w14:textId="77777777" w:rsidR="00220D8E" w:rsidRPr="00C41F4C" w:rsidRDefault="00220D8E" w:rsidP="00220D8E">
            <w:pPr>
              <w:spacing w:after="120" w:line="360" w:lineRule="auto"/>
              <w:ind w:firstLine="360"/>
              <w:jc w:val="both"/>
              <w:rPr>
                <w:rFonts w:ascii="Calibri" w:hAnsi="Calibri" w:cs="Arial"/>
                <w:i/>
                <w:strike/>
                <w:szCs w:val="24"/>
              </w:rPr>
            </w:pPr>
            <w:r w:rsidRPr="00C41F4C">
              <w:rPr>
                <w:rFonts w:ascii="Calibri" w:hAnsi="Calibri" w:cs="Arial"/>
                <w:i/>
                <w:strike/>
                <w:szCs w:val="24"/>
              </w:rPr>
              <w:t xml:space="preserve">Australia is free from rinderpest, </w:t>
            </w:r>
            <w:proofErr w:type="spellStart"/>
            <w:r w:rsidRPr="00C41F4C">
              <w:rPr>
                <w:rFonts w:ascii="Calibri" w:hAnsi="Calibri" w:cs="Arial"/>
                <w:i/>
                <w:strike/>
                <w:szCs w:val="24"/>
              </w:rPr>
              <w:t>peste</w:t>
            </w:r>
            <w:proofErr w:type="spellEnd"/>
            <w:r w:rsidRPr="00C41F4C">
              <w:rPr>
                <w:rFonts w:ascii="Calibri" w:hAnsi="Calibri" w:cs="Arial"/>
                <w:i/>
                <w:strike/>
                <w:szCs w:val="24"/>
              </w:rPr>
              <w:t xml:space="preserve"> des petits ruminants and Rift Valley fever.</w:t>
            </w:r>
          </w:p>
          <w:p w14:paraId="205C7912" w14:textId="77777777" w:rsidR="00220D8E" w:rsidRPr="008E1C9D" w:rsidRDefault="00220D8E" w:rsidP="00220D8E">
            <w:pPr>
              <w:numPr>
                <w:ilvl w:val="0"/>
                <w:numId w:val="17"/>
              </w:numPr>
              <w:spacing w:line="360" w:lineRule="auto"/>
              <w:jc w:val="both"/>
              <w:rPr>
                <w:rFonts w:ascii="Calibri" w:hAnsi="Calibri" w:cs="Arial"/>
                <w:szCs w:val="24"/>
                <w:lang w:val="es-AR"/>
              </w:rPr>
            </w:pPr>
            <w:r w:rsidRPr="008E1C9D">
              <w:rPr>
                <w:rFonts w:ascii="Calibri" w:hAnsi="Calibri" w:cs="Arial"/>
                <w:szCs w:val="24"/>
                <w:lang w:val="es-AR"/>
              </w:rPr>
              <w:t xml:space="preserve">Al ingresar al centro, los animales donantes fueron examinados, con resultados negativos, en relación con las siguientes enfermedades: tuberculosis bovina, brucelosis bovina, </w:t>
            </w:r>
            <w:proofErr w:type="spellStart"/>
            <w:r w:rsidRPr="008E1C9D">
              <w:rPr>
                <w:rFonts w:ascii="Calibri" w:hAnsi="Calibri" w:cs="Arial"/>
                <w:szCs w:val="24"/>
                <w:lang w:val="es-AR"/>
              </w:rPr>
              <w:t>rinotraqueítis</w:t>
            </w:r>
            <w:proofErr w:type="spellEnd"/>
            <w:r w:rsidRPr="008E1C9D">
              <w:rPr>
                <w:rFonts w:ascii="Calibri" w:hAnsi="Calibri" w:cs="Arial"/>
                <w:szCs w:val="24"/>
                <w:lang w:val="es-AR"/>
              </w:rPr>
              <w:t xml:space="preserve"> infecciosa bovina, diarrea viral bovina, </w:t>
            </w:r>
            <w:proofErr w:type="spellStart"/>
            <w:r w:rsidRPr="008E1C9D">
              <w:rPr>
                <w:rFonts w:ascii="Calibri" w:hAnsi="Calibri" w:cs="Arial"/>
                <w:szCs w:val="24"/>
                <w:lang w:val="es-AR"/>
              </w:rPr>
              <w:t>campilobacteriosis</w:t>
            </w:r>
            <w:proofErr w:type="spellEnd"/>
            <w:r w:rsidRPr="008E1C9D">
              <w:rPr>
                <w:rFonts w:ascii="Calibri" w:hAnsi="Calibri" w:cs="Arial"/>
                <w:szCs w:val="24"/>
                <w:lang w:val="es-AR"/>
              </w:rPr>
              <w:t xml:space="preserve"> genital, tricomoniasis venérea bovina y lengua azul, de acuerdo con los requisitos del Manual de Normas de la OIE, y se los encontró </w:t>
            </w:r>
            <w:r>
              <w:rPr>
                <w:rFonts w:ascii="Calibri" w:hAnsi="Calibri" w:cs="Arial"/>
                <w:szCs w:val="24"/>
                <w:lang w:val="es-AR"/>
              </w:rPr>
              <w:t>libres de estas enfermedades.</w:t>
            </w:r>
          </w:p>
          <w:p w14:paraId="169D59BC" w14:textId="77777777" w:rsidR="00220D8E" w:rsidRPr="0025440D" w:rsidRDefault="00220D8E" w:rsidP="00220D8E">
            <w:pPr>
              <w:spacing w:after="120" w:line="360" w:lineRule="auto"/>
              <w:ind w:left="360"/>
              <w:jc w:val="both"/>
              <w:rPr>
                <w:rFonts w:ascii="Calibri" w:hAnsi="Calibri" w:cs="Arial"/>
                <w:i/>
                <w:szCs w:val="24"/>
              </w:rPr>
            </w:pPr>
            <w:r w:rsidRPr="0025440D">
              <w:rPr>
                <w:rFonts w:ascii="Calibri" w:hAnsi="Calibri" w:cs="Arial"/>
                <w:i/>
                <w:szCs w:val="24"/>
              </w:rPr>
              <w:t xml:space="preserve">On entry into the centre, the donor animals were examined and tested negative for the following diseases: bovine tuberculosis, bovine brucellosis, infectious bovine rhinotracheitis, bovine viral diarrhea, genital campylobacteriosis, bovine venereal trichomoniasis and bluetongue, according to the guidelines of the Manual of Standards of the OIE and found free from these diseases. </w:t>
            </w:r>
          </w:p>
          <w:p w14:paraId="2D88405A" w14:textId="77777777" w:rsidR="00220D8E" w:rsidRPr="008E1C9D" w:rsidRDefault="00220D8E" w:rsidP="00220D8E">
            <w:pPr>
              <w:numPr>
                <w:ilvl w:val="0"/>
                <w:numId w:val="17"/>
              </w:numPr>
              <w:spacing w:after="480" w:line="360" w:lineRule="auto"/>
              <w:jc w:val="both"/>
              <w:rPr>
                <w:rFonts w:ascii="Calibri" w:hAnsi="Calibri" w:cs="Arial"/>
                <w:szCs w:val="24"/>
                <w:lang w:val="es-AR"/>
              </w:rPr>
            </w:pPr>
            <w:r w:rsidRPr="008E1C9D">
              <w:rPr>
                <w:rFonts w:ascii="Calibri" w:hAnsi="Calibri" w:cs="Arial"/>
                <w:szCs w:val="24"/>
                <w:lang w:val="es-AR"/>
              </w:rPr>
              <w:t>Todos los donantes en el Centro de Recolección de Semen arrojaron resultados negativos a las pruebas diagnósticas, efectuadas al menos cada 12 meses, para las siguientes enfermedades:</w:t>
            </w:r>
          </w:p>
          <w:p w14:paraId="5F197D9E" w14:textId="77777777" w:rsidR="00220D8E" w:rsidRPr="008E1C9D" w:rsidRDefault="00220D8E" w:rsidP="00220D8E">
            <w:pPr>
              <w:numPr>
                <w:ilvl w:val="1"/>
                <w:numId w:val="19"/>
              </w:numPr>
              <w:spacing w:line="360" w:lineRule="auto"/>
              <w:jc w:val="both"/>
              <w:rPr>
                <w:rFonts w:ascii="Calibri" w:hAnsi="Calibri" w:cs="Arial"/>
                <w:szCs w:val="24"/>
                <w:lang w:val="es-AR"/>
              </w:rPr>
            </w:pPr>
            <w:r w:rsidRPr="008E1C9D">
              <w:rPr>
                <w:rFonts w:ascii="Calibri" w:hAnsi="Calibri" w:cs="Arial"/>
                <w:szCs w:val="24"/>
                <w:lang w:val="es-AR"/>
              </w:rPr>
              <w:t>TUBERCULOSIS BOVINA: Reacción intradérm</w:t>
            </w:r>
            <w:r>
              <w:rPr>
                <w:rFonts w:ascii="Calibri" w:hAnsi="Calibri" w:cs="Arial"/>
                <w:szCs w:val="24"/>
                <w:lang w:val="es-AR"/>
              </w:rPr>
              <w:t>ica con tuberculina PPD bovina.</w:t>
            </w:r>
          </w:p>
          <w:p w14:paraId="6FF51271" w14:textId="77777777" w:rsidR="00220D8E" w:rsidRPr="008E1C9D" w:rsidRDefault="00220D8E" w:rsidP="00220D8E">
            <w:pPr>
              <w:numPr>
                <w:ilvl w:val="1"/>
                <w:numId w:val="19"/>
              </w:numPr>
              <w:spacing w:line="360" w:lineRule="auto"/>
              <w:jc w:val="both"/>
              <w:rPr>
                <w:rFonts w:ascii="Calibri" w:hAnsi="Calibri" w:cs="Arial"/>
                <w:szCs w:val="24"/>
                <w:lang w:val="es-AR"/>
              </w:rPr>
            </w:pPr>
            <w:r w:rsidRPr="008E1C9D">
              <w:rPr>
                <w:rFonts w:ascii="Calibri" w:hAnsi="Calibri" w:cs="Arial"/>
                <w:szCs w:val="24"/>
                <w:lang w:val="es-AR"/>
              </w:rPr>
              <w:t>BRUCELOSIS: ELISA</w:t>
            </w:r>
          </w:p>
          <w:p w14:paraId="27D15AC2" w14:textId="77777777" w:rsidR="00220D8E" w:rsidRPr="008E1C9D" w:rsidRDefault="00220D8E" w:rsidP="00220D8E">
            <w:pPr>
              <w:numPr>
                <w:ilvl w:val="1"/>
                <w:numId w:val="19"/>
              </w:numPr>
              <w:spacing w:line="360" w:lineRule="auto"/>
              <w:jc w:val="both"/>
              <w:rPr>
                <w:rFonts w:ascii="Calibri" w:hAnsi="Calibri" w:cs="Arial"/>
                <w:szCs w:val="24"/>
                <w:lang w:val="es-AR"/>
              </w:rPr>
            </w:pPr>
            <w:r w:rsidRPr="008E1C9D">
              <w:rPr>
                <w:rFonts w:ascii="Calibri" w:hAnsi="Calibri" w:cs="Arial"/>
                <w:szCs w:val="24"/>
                <w:lang w:val="es-AR"/>
              </w:rPr>
              <w:lastRenderedPageBreak/>
              <w:t>CAMPILOBACTERIOSIS GENITAL y TRICOMONIASIS: Cultivo</w:t>
            </w:r>
          </w:p>
          <w:p w14:paraId="259398EC" w14:textId="77777777" w:rsidR="00220D8E" w:rsidRPr="008E1C9D" w:rsidRDefault="00220D8E" w:rsidP="00220D8E">
            <w:pPr>
              <w:numPr>
                <w:ilvl w:val="1"/>
                <w:numId w:val="19"/>
              </w:numPr>
              <w:spacing w:line="360" w:lineRule="auto"/>
              <w:jc w:val="both"/>
              <w:rPr>
                <w:rFonts w:ascii="Calibri" w:hAnsi="Calibri" w:cs="Arial"/>
                <w:szCs w:val="24"/>
                <w:lang w:val="es-AR"/>
              </w:rPr>
            </w:pPr>
            <w:r w:rsidRPr="008E1C9D">
              <w:rPr>
                <w:rFonts w:ascii="Calibri" w:hAnsi="Calibri" w:cs="Arial"/>
                <w:szCs w:val="24"/>
                <w:lang w:val="es-AR"/>
              </w:rPr>
              <w:t>LEUCOSIS ENZOÓTICA BOVINA: ELISA</w:t>
            </w:r>
          </w:p>
          <w:p w14:paraId="2A5E6469" w14:textId="77777777" w:rsidR="00220D8E" w:rsidRPr="008E1C9D" w:rsidRDefault="00220D8E" w:rsidP="00220D8E">
            <w:pPr>
              <w:numPr>
                <w:ilvl w:val="1"/>
                <w:numId w:val="19"/>
              </w:numPr>
              <w:spacing w:line="360" w:lineRule="auto"/>
              <w:jc w:val="both"/>
              <w:rPr>
                <w:rFonts w:ascii="Calibri" w:hAnsi="Calibri" w:cs="Arial"/>
                <w:szCs w:val="24"/>
                <w:lang w:val="es-AR"/>
              </w:rPr>
            </w:pPr>
            <w:r w:rsidRPr="008E1C9D">
              <w:rPr>
                <w:rFonts w:ascii="Calibri" w:hAnsi="Calibri" w:cs="Arial"/>
                <w:szCs w:val="24"/>
                <w:lang w:val="es-AR"/>
              </w:rPr>
              <w:t xml:space="preserve">RINOTRAQUEÍTIS INFECCIOSA BOVINA: ELISA </w:t>
            </w:r>
          </w:p>
          <w:p w14:paraId="023EDF59" w14:textId="77777777" w:rsidR="00220D8E" w:rsidRPr="008E1C9D" w:rsidRDefault="00220D8E" w:rsidP="00220D8E">
            <w:pPr>
              <w:numPr>
                <w:ilvl w:val="1"/>
                <w:numId w:val="19"/>
              </w:numPr>
              <w:spacing w:line="360" w:lineRule="auto"/>
              <w:jc w:val="both"/>
              <w:rPr>
                <w:rFonts w:ascii="Calibri" w:hAnsi="Calibri" w:cs="Arial"/>
                <w:szCs w:val="24"/>
                <w:lang w:val="es-AR"/>
              </w:rPr>
            </w:pPr>
            <w:r w:rsidRPr="008E1C9D">
              <w:rPr>
                <w:rFonts w:ascii="Calibri" w:hAnsi="Calibri" w:cs="Arial"/>
                <w:szCs w:val="24"/>
                <w:lang w:val="es-AR"/>
              </w:rPr>
              <w:t>DIARREA VIRAL BOVINA: Prueba de aislamiento viral en muestra de sangre o prueba ELISA de captura de antígeno viral en suero, o prueba de PCR en el semen.</w:t>
            </w:r>
          </w:p>
          <w:p w14:paraId="410B0C95" w14:textId="77777777" w:rsidR="00220D8E" w:rsidRPr="0025440D" w:rsidRDefault="00220D8E" w:rsidP="00220D8E">
            <w:pPr>
              <w:spacing w:line="360" w:lineRule="auto"/>
              <w:ind w:left="360"/>
              <w:jc w:val="both"/>
              <w:rPr>
                <w:rFonts w:ascii="Calibri" w:hAnsi="Calibri" w:cs="Arial"/>
                <w:i/>
                <w:szCs w:val="24"/>
              </w:rPr>
            </w:pPr>
            <w:r w:rsidRPr="0025440D">
              <w:rPr>
                <w:rFonts w:ascii="Calibri" w:hAnsi="Calibri" w:cs="Arial"/>
                <w:i/>
                <w:szCs w:val="24"/>
              </w:rPr>
              <w:t>All donors in the Semen Collection Centre gave negative results to diagnostic tests -- performed at least every 12 months for the following diseases:</w:t>
            </w:r>
          </w:p>
          <w:p w14:paraId="5FEE9342" w14:textId="77777777" w:rsidR="00220D8E" w:rsidRPr="0025440D" w:rsidRDefault="00220D8E" w:rsidP="00220D8E">
            <w:pPr>
              <w:numPr>
                <w:ilvl w:val="0"/>
                <w:numId w:val="20"/>
              </w:numPr>
              <w:spacing w:line="360" w:lineRule="auto"/>
              <w:jc w:val="both"/>
              <w:rPr>
                <w:rFonts w:ascii="Calibri" w:hAnsi="Calibri" w:cs="Arial"/>
                <w:i/>
                <w:szCs w:val="24"/>
              </w:rPr>
            </w:pPr>
            <w:r w:rsidRPr="0025440D">
              <w:rPr>
                <w:rFonts w:ascii="Calibri" w:hAnsi="Calibri" w:cs="Arial"/>
                <w:i/>
                <w:szCs w:val="24"/>
              </w:rPr>
              <w:t xml:space="preserve">BOVINE TUBERCULOSIS: Intradermal reaction to bovine PPD tuberculin. </w:t>
            </w:r>
            <w:r w:rsidRPr="0025440D">
              <w:rPr>
                <w:rFonts w:ascii="Calibri" w:hAnsi="Calibri" w:cs="Arial"/>
                <w:i/>
                <w:szCs w:val="24"/>
              </w:rPr>
              <w:tab/>
              <w:t xml:space="preserve">    </w:t>
            </w:r>
          </w:p>
          <w:p w14:paraId="5E9447BB" w14:textId="77777777" w:rsidR="00220D8E" w:rsidRPr="0025440D" w:rsidRDefault="00220D8E" w:rsidP="00220D8E">
            <w:pPr>
              <w:numPr>
                <w:ilvl w:val="0"/>
                <w:numId w:val="20"/>
              </w:numPr>
              <w:spacing w:line="360" w:lineRule="auto"/>
              <w:jc w:val="both"/>
              <w:rPr>
                <w:rFonts w:ascii="Calibri" w:hAnsi="Calibri" w:cs="Arial"/>
                <w:i/>
                <w:szCs w:val="24"/>
              </w:rPr>
            </w:pPr>
            <w:r w:rsidRPr="0025440D">
              <w:rPr>
                <w:rFonts w:ascii="Calibri" w:hAnsi="Calibri" w:cs="Arial"/>
                <w:i/>
                <w:szCs w:val="24"/>
              </w:rPr>
              <w:t>BRUCELLOSIS: ELISA</w:t>
            </w:r>
          </w:p>
          <w:p w14:paraId="7990BB54" w14:textId="77777777" w:rsidR="00220D8E" w:rsidRPr="0025440D" w:rsidRDefault="00220D8E" w:rsidP="00220D8E">
            <w:pPr>
              <w:numPr>
                <w:ilvl w:val="0"/>
                <w:numId w:val="20"/>
              </w:numPr>
              <w:spacing w:line="360" w:lineRule="auto"/>
              <w:jc w:val="both"/>
              <w:rPr>
                <w:rFonts w:ascii="Calibri" w:hAnsi="Calibri" w:cs="Arial"/>
                <w:i/>
                <w:szCs w:val="24"/>
              </w:rPr>
            </w:pPr>
            <w:r w:rsidRPr="0025440D">
              <w:rPr>
                <w:rFonts w:ascii="Calibri" w:hAnsi="Calibri" w:cs="Arial"/>
                <w:i/>
                <w:szCs w:val="24"/>
              </w:rPr>
              <w:t>GENITAL CAMPYLOBACTERIOSIS and TRICHOMONIASIS: Culture</w:t>
            </w:r>
          </w:p>
          <w:p w14:paraId="406F8305" w14:textId="77777777" w:rsidR="00220D8E" w:rsidRPr="0025440D" w:rsidRDefault="00220D8E" w:rsidP="00220D8E">
            <w:pPr>
              <w:numPr>
                <w:ilvl w:val="0"/>
                <w:numId w:val="20"/>
              </w:numPr>
              <w:spacing w:line="360" w:lineRule="auto"/>
              <w:jc w:val="both"/>
              <w:rPr>
                <w:rFonts w:ascii="Calibri" w:hAnsi="Calibri" w:cs="Arial"/>
                <w:i/>
                <w:szCs w:val="24"/>
              </w:rPr>
            </w:pPr>
            <w:r w:rsidRPr="0025440D">
              <w:rPr>
                <w:rFonts w:ascii="Calibri" w:hAnsi="Calibri" w:cs="Arial"/>
                <w:i/>
                <w:szCs w:val="24"/>
              </w:rPr>
              <w:t>BOVINE ENZOOTIC LEUKOSIS:  ELISA</w:t>
            </w:r>
          </w:p>
          <w:p w14:paraId="11023A40" w14:textId="77777777" w:rsidR="00220D8E" w:rsidRPr="0025440D" w:rsidRDefault="00220D8E" w:rsidP="00220D8E">
            <w:pPr>
              <w:numPr>
                <w:ilvl w:val="0"/>
                <w:numId w:val="20"/>
              </w:numPr>
              <w:spacing w:line="360" w:lineRule="auto"/>
              <w:jc w:val="both"/>
              <w:rPr>
                <w:rFonts w:ascii="Calibri" w:hAnsi="Calibri" w:cs="Arial"/>
                <w:i/>
                <w:szCs w:val="24"/>
              </w:rPr>
            </w:pPr>
            <w:r w:rsidRPr="0025440D">
              <w:rPr>
                <w:rFonts w:ascii="Calibri" w:hAnsi="Calibri" w:cs="Arial"/>
                <w:i/>
                <w:szCs w:val="24"/>
              </w:rPr>
              <w:t xml:space="preserve">BOVINE INFECTIOUS RHINOTRACHEITIS: ELISA </w:t>
            </w:r>
          </w:p>
          <w:p w14:paraId="1D815E27" w14:textId="77777777" w:rsidR="00220D8E" w:rsidRPr="0025440D" w:rsidRDefault="00220D8E" w:rsidP="00220D8E">
            <w:pPr>
              <w:numPr>
                <w:ilvl w:val="0"/>
                <w:numId w:val="20"/>
              </w:numPr>
              <w:spacing w:after="120" w:line="360" w:lineRule="auto"/>
              <w:jc w:val="both"/>
              <w:rPr>
                <w:rFonts w:ascii="Calibri" w:hAnsi="Calibri" w:cs="Arial"/>
                <w:i/>
                <w:szCs w:val="24"/>
              </w:rPr>
            </w:pPr>
            <w:r w:rsidRPr="0025440D">
              <w:rPr>
                <w:rFonts w:ascii="Calibri" w:hAnsi="Calibri" w:cs="Arial"/>
                <w:i/>
                <w:szCs w:val="24"/>
              </w:rPr>
              <w:t xml:space="preserve">BOVINE VIRAL DIARRHEA: Virus isolation test in blood sample or viral antigen capture ELISA on serum, or PCR test in semen by PCR. </w:t>
            </w:r>
          </w:p>
          <w:p w14:paraId="0705BACA" w14:textId="77777777" w:rsidR="00220D8E" w:rsidRPr="005B2382" w:rsidRDefault="00220D8E" w:rsidP="00220D8E">
            <w:pPr>
              <w:numPr>
                <w:ilvl w:val="0"/>
                <w:numId w:val="17"/>
              </w:numPr>
              <w:spacing w:line="360" w:lineRule="auto"/>
              <w:jc w:val="both"/>
              <w:rPr>
                <w:rFonts w:ascii="Calibri" w:hAnsi="Calibri" w:cs="Arial"/>
                <w:szCs w:val="24"/>
              </w:rPr>
            </w:pPr>
            <w:r w:rsidRPr="005B2382">
              <w:rPr>
                <w:rFonts w:ascii="Calibri" w:hAnsi="Calibri" w:cs="Arial"/>
                <w:szCs w:val="24"/>
                <w:lang w:val="es-AR"/>
              </w:rPr>
              <w:t>LENGUA AZUL: /</w:t>
            </w:r>
            <w:r w:rsidRPr="005B2382">
              <w:rPr>
                <w:rFonts w:ascii="Calibri" w:hAnsi="Calibri" w:cs="Arial"/>
                <w:szCs w:val="24"/>
              </w:rPr>
              <w:t xml:space="preserve"> BLUE TONGUE:</w:t>
            </w:r>
          </w:p>
          <w:p w14:paraId="01DB88D7" w14:textId="77777777" w:rsidR="00220D8E" w:rsidRPr="005B2382" w:rsidRDefault="00220D8E" w:rsidP="00220D8E">
            <w:pPr>
              <w:spacing w:line="360" w:lineRule="auto"/>
              <w:jc w:val="both"/>
              <w:rPr>
                <w:rFonts w:ascii="Calibri" w:hAnsi="Calibri" w:cs="Arial"/>
                <w:szCs w:val="24"/>
              </w:rPr>
            </w:pPr>
            <w:r w:rsidRPr="005B2382">
              <w:rPr>
                <w:rFonts w:ascii="Calibri" w:hAnsi="Calibri" w:cs="Arial"/>
                <w:szCs w:val="24"/>
                <w:lang w:val="es-AR"/>
              </w:rPr>
              <w:t>Los reproductores donantes:/</w:t>
            </w:r>
            <w:r w:rsidRPr="005B2382">
              <w:rPr>
                <w:rFonts w:ascii="Calibri" w:hAnsi="Calibri" w:cs="Arial"/>
                <w:szCs w:val="24"/>
              </w:rPr>
              <w:t xml:space="preserve"> The donor sires:</w:t>
            </w:r>
          </w:p>
          <w:p w14:paraId="5E1D4F16" w14:textId="77777777" w:rsidR="00220D8E" w:rsidRDefault="00220D8E" w:rsidP="00220D8E">
            <w:pPr>
              <w:numPr>
                <w:ilvl w:val="1"/>
                <w:numId w:val="17"/>
              </w:numPr>
              <w:spacing w:line="360" w:lineRule="auto"/>
              <w:jc w:val="both"/>
              <w:rPr>
                <w:rFonts w:ascii="Calibri" w:hAnsi="Calibri" w:cs="Arial"/>
                <w:szCs w:val="24"/>
                <w:lang w:val="es-AR"/>
              </w:rPr>
            </w:pPr>
            <w:r w:rsidRPr="005B2382">
              <w:rPr>
                <w:rFonts w:ascii="Calibri" w:hAnsi="Calibri" w:cs="Arial"/>
                <w:szCs w:val="24"/>
                <w:lang w:val="es-AR"/>
              </w:rPr>
              <w:t>fueron sometidos a pruebas serológicas de acuerdo con el Manual Terrestre para detección de anticuerpo contra el grupo BTV, con resultados negativos, al menos cada 60 días durante todo el período de recolección y entre los 21 y 60 días posteriores a la recolección final para este envío; o bien</w:t>
            </w:r>
          </w:p>
          <w:p w14:paraId="256FD491" w14:textId="77777777" w:rsidR="00220D8E" w:rsidRPr="0025440D" w:rsidRDefault="00220D8E" w:rsidP="00220D8E">
            <w:pPr>
              <w:spacing w:line="360" w:lineRule="auto"/>
              <w:ind w:left="792"/>
              <w:jc w:val="both"/>
              <w:rPr>
                <w:rFonts w:ascii="Calibri" w:hAnsi="Calibri" w:cs="Arial"/>
                <w:i/>
                <w:szCs w:val="24"/>
                <w:lang w:val="es-AR"/>
              </w:rPr>
            </w:pPr>
            <w:r w:rsidRPr="0025440D">
              <w:rPr>
                <w:rFonts w:ascii="Calibri" w:hAnsi="Calibri" w:cs="Arial"/>
                <w:i/>
                <w:szCs w:val="24"/>
              </w:rPr>
              <w:t xml:space="preserve">were subjected to a serological test according to the Terrestrial Manual to </w:t>
            </w:r>
            <w:proofErr w:type="gramStart"/>
            <w:r w:rsidRPr="0025440D">
              <w:rPr>
                <w:rFonts w:ascii="Calibri" w:hAnsi="Calibri" w:cs="Arial"/>
                <w:i/>
                <w:szCs w:val="24"/>
              </w:rPr>
              <w:t>detect  antibody</w:t>
            </w:r>
            <w:proofErr w:type="gramEnd"/>
            <w:r w:rsidRPr="0025440D">
              <w:rPr>
                <w:rFonts w:ascii="Calibri" w:hAnsi="Calibri" w:cs="Arial"/>
                <w:i/>
                <w:szCs w:val="24"/>
              </w:rPr>
              <w:t xml:space="preserve"> to the BTV group, with negative results, at least every 60 days throughout the collection period and between 21 and 60 days after the final collection for this consignment; or</w:t>
            </w:r>
          </w:p>
          <w:p w14:paraId="4E3A736D" w14:textId="77777777" w:rsidR="00220D8E" w:rsidRDefault="00220D8E" w:rsidP="00220D8E">
            <w:pPr>
              <w:numPr>
                <w:ilvl w:val="1"/>
                <w:numId w:val="17"/>
              </w:numPr>
              <w:spacing w:line="360" w:lineRule="auto"/>
              <w:jc w:val="both"/>
              <w:rPr>
                <w:rFonts w:ascii="Calibri" w:hAnsi="Calibri" w:cs="Arial"/>
                <w:szCs w:val="24"/>
                <w:lang w:val="es-AR"/>
              </w:rPr>
            </w:pPr>
            <w:r w:rsidRPr="0025440D">
              <w:rPr>
                <w:rFonts w:ascii="Calibri" w:hAnsi="Calibri" w:cs="Arial"/>
                <w:szCs w:val="24"/>
                <w:lang w:val="es-AR"/>
              </w:rPr>
              <w:t>fueron sometidos a una prueba de identificación del agente de acuerdo con el Manual Terrestre, realizada sobre muestras de sangre tomadas al principio y al final de la recolección, al menos cada 7 días (prueba de aislamiento viral) o al menos cada 29 días (prueba de PCR) durante el período de recolección de semen para este env</w:t>
            </w:r>
            <w:r>
              <w:rPr>
                <w:rFonts w:ascii="Calibri" w:hAnsi="Calibri" w:cs="Arial"/>
                <w:szCs w:val="24"/>
                <w:lang w:val="es-AR"/>
              </w:rPr>
              <w:t>ío, con resultados negativos.</w:t>
            </w:r>
          </w:p>
          <w:p w14:paraId="336AF1A4" w14:textId="77777777" w:rsidR="00220D8E" w:rsidRPr="0025440D" w:rsidRDefault="00220D8E" w:rsidP="00220D8E">
            <w:pPr>
              <w:spacing w:line="360" w:lineRule="auto"/>
              <w:ind w:left="792"/>
              <w:jc w:val="both"/>
              <w:rPr>
                <w:rFonts w:ascii="Calibri" w:hAnsi="Calibri" w:cs="Arial"/>
                <w:i/>
                <w:szCs w:val="24"/>
                <w:lang w:val="es-AR"/>
              </w:rPr>
            </w:pPr>
            <w:r w:rsidRPr="0025440D">
              <w:rPr>
                <w:rFonts w:ascii="Calibri" w:hAnsi="Calibri" w:cs="Arial"/>
                <w:i/>
                <w:szCs w:val="24"/>
              </w:rPr>
              <w:lastRenderedPageBreak/>
              <w:t>were subjected to an agent identification test according to the Terrestrial Manual on blood samples collected at commencement and conclusion of, and at least every 7 days (virus isolation test) or at least every 28 days (PCR test) during semen collection for this consignment with negative results.</w:t>
            </w:r>
          </w:p>
          <w:p w14:paraId="28C500A3" w14:textId="77777777" w:rsidR="00220D8E" w:rsidRPr="005B2382" w:rsidRDefault="00220D8E" w:rsidP="00220D8E">
            <w:pPr>
              <w:numPr>
                <w:ilvl w:val="0"/>
                <w:numId w:val="17"/>
              </w:numPr>
              <w:spacing w:line="360" w:lineRule="auto"/>
              <w:jc w:val="both"/>
              <w:rPr>
                <w:rFonts w:ascii="Calibri" w:hAnsi="Calibri" w:cs="Arial"/>
                <w:szCs w:val="24"/>
              </w:rPr>
            </w:pPr>
            <w:r w:rsidRPr="005B2382">
              <w:rPr>
                <w:rFonts w:ascii="Calibri" w:hAnsi="Calibri" w:cs="Arial"/>
                <w:szCs w:val="24"/>
                <w:lang w:val="es-AR"/>
              </w:rPr>
              <w:t>RINOTRAQUEÍTIS INFECCIOSA BOVINA / VULVOVAGINITIS PUSTULAR INFECCIOSA</w:t>
            </w:r>
            <w:r w:rsidRPr="005B2382">
              <w:rPr>
                <w:rFonts w:ascii="Calibri" w:hAnsi="Calibri" w:cs="Arial"/>
                <w:szCs w:val="24"/>
              </w:rPr>
              <w:t xml:space="preserve"> / BOVINE INFECTIOUS RHINOTRACHEITIS / INFECTIOUS PUSTULAR VULVOVAGINITIS</w:t>
            </w:r>
          </w:p>
          <w:p w14:paraId="28B641D0" w14:textId="77777777" w:rsidR="00220D8E" w:rsidRDefault="00220D8E" w:rsidP="00220D8E">
            <w:pPr>
              <w:numPr>
                <w:ilvl w:val="1"/>
                <w:numId w:val="17"/>
              </w:numPr>
              <w:spacing w:line="360" w:lineRule="auto"/>
              <w:jc w:val="both"/>
              <w:rPr>
                <w:rFonts w:ascii="Calibri" w:hAnsi="Calibri" w:cs="Arial"/>
                <w:szCs w:val="24"/>
              </w:rPr>
            </w:pPr>
            <w:r w:rsidRPr="005B2382">
              <w:rPr>
                <w:rFonts w:ascii="Calibri" w:hAnsi="Calibri" w:cs="Arial"/>
                <w:szCs w:val="24"/>
                <w:lang w:val="es-AR"/>
              </w:rPr>
              <w:t xml:space="preserve">Los donantes se mantuvieron en un rebaño libre de </w:t>
            </w:r>
            <w:proofErr w:type="spellStart"/>
            <w:r w:rsidRPr="005B2382">
              <w:rPr>
                <w:rFonts w:ascii="Calibri" w:hAnsi="Calibri" w:cs="Arial"/>
                <w:szCs w:val="24"/>
                <w:lang w:val="es-AR"/>
              </w:rPr>
              <w:t>rinotraqueítis</w:t>
            </w:r>
            <w:proofErr w:type="spellEnd"/>
            <w:r w:rsidRPr="005B2382">
              <w:rPr>
                <w:rFonts w:ascii="Calibri" w:hAnsi="Calibri" w:cs="Arial"/>
                <w:szCs w:val="24"/>
                <w:lang w:val="es-AR"/>
              </w:rPr>
              <w:t xml:space="preserve"> infecciosa bovina / vulvovaginitis </w:t>
            </w:r>
            <w:proofErr w:type="spellStart"/>
            <w:r w:rsidRPr="005B2382">
              <w:rPr>
                <w:rFonts w:ascii="Calibri" w:hAnsi="Calibri" w:cs="Arial"/>
                <w:szCs w:val="24"/>
                <w:lang w:val="es-AR"/>
              </w:rPr>
              <w:t>pustular</w:t>
            </w:r>
            <w:proofErr w:type="spellEnd"/>
            <w:r w:rsidRPr="005B2382">
              <w:rPr>
                <w:rFonts w:ascii="Calibri" w:hAnsi="Calibri" w:cs="Arial"/>
                <w:szCs w:val="24"/>
                <w:lang w:val="es-AR"/>
              </w:rPr>
              <w:t xml:space="preserve"> infecciosa durante el tiempo de recolección de semen, de acuerdo con los requisitos de rebaño libre especificados en el Apéndice de la OIE referente al semen bovino y de pequeños rumiantes; o bien </w:t>
            </w:r>
          </w:p>
          <w:p w14:paraId="73077ECF" w14:textId="77777777" w:rsidR="00220D8E" w:rsidRDefault="00220D8E" w:rsidP="00220D8E">
            <w:pPr>
              <w:spacing w:line="360" w:lineRule="auto"/>
              <w:ind w:left="792"/>
              <w:jc w:val="both"/>
              <w:rPr>
                <w:rFonts w:ascii="Calibri" w:hAnsi="Calibri" w:cs="Arial"/>
                <w:i/>
                <w:szCs w:val="24"/>
              </w:rPr>
            </w:pPr>
            <w:r w:rsidRPr="0025440D">
              <w:rPr>
                <w:rFonts w:ascii="Calibri" w:hAnsi="Calibri" w:cs="Arial"/>
                <w:i/>
                <w:szCs w:val="24"/>
              </w:rPr>
              <w:t xml:space="preserve">The donors were kept in a herd free from Infectious bovine rhinotracheitis / infectious pustular vulvovaginitis at the time of semen collection, in accordance with the herd freedom requirements specified in </w:t>
            </w:r>
            <w:bookmarkStart w:id="0" w:name="chapitre_3.2.1."/>
            <w:r w:rsidRPr="0025440D">
              <w:rPr>
                <w:rFonts w:ascii="Calibri" w:hAnsi="Calibri" w:cs="Arial"/>
                <w:i/>
                <w:szCs w:val="24"/>
              </w:rPr>
              <w:t xml:space="preserve">the </w:t>
            </w:r>
            <w:proofErr w:type="gramStart"/>
            <w:r w:rsidRPr="0025440D">
              <w:rPr>
                <w:rFonts w:ascii="Calibri" w:hAnsi="Calibri" w:cs="Arial"/>
                <w:i/>
                <w:szCs w:val="24"/>
              </w:rPr>
              <w:t>OIE  Appendix</w:t>
            </w:r>
            <w:proofErr w:type="gramEnd"/>
            <w:r w:rsidRPr="0025440D">
              <w:rPr>
                <w:rFonts w:ascii="Calibri" w:hAnsi="Calibri" w:cs="Arial"/>
                <w:i/>
                <w:szCs w:val="24"/>
              </w:rPr>
              <w:t xml:space="preserve"> </w:t>
            </w:r>
            <w:bookmarkEnd w:id="0"/>
            <w:r w:rsidRPr="0025440D">
              <w:rPr>
                <w:rFonts w:ascii="Calibri" w:hAnsi="Calibri" w:cs="Arial"/>
                <w:i/>
                <w:szCs w:val="24"/>
              </w:rPr>
              <w:t xml:space="preserve"> on bovine and small ruminant semen, or</w:t>
            </w:r>
          </w:p>
          <w:p w14:paraId="0198B886" w14:textId="77777777" w:rsidR="00220D8E" w:rsidRPr="0025440D" w:rsidRDefault="00220D8E" w:rsidP="00220D8E">
            <w:pPr>
              <w:numPr>
                <w:ilvl w:val="1"/>
                <w:numId w:val="17"/>
              </w:numPr>
              <w:spacing w:line="360" w:lineRule="auto"/>
              <w:jc w:val="both"/>
              <w:rPr>
                <w:rFonts w:ascii="Calibri" w:hAnsi="Calibri" w:cs="Arial"/>
                <w:i/>
                <w:szCs w:val="24"/>
              </w:rPr>
            </w:pPr>
            <w:r w:rsidRPr="0025440D">
              <w:rPr>
                <w:rFonts w:ascii="Calibri" w:hAnsi="Calibri" w:cs="Arial"/>
                <w:szCs w:val="24"/>
                <w:lang w:val="es-AR"/>
              </w:rPr>
              <w:t xml:space="preserve">El reproductor o los reproductores donantes se mantuvieron aislados durante el tiempo de recolección de semen y durante los 30 días siguientes, y arrojaron resultados negativos a una prueba diagnóstica para la detección de </w:t>
            </w:r>
            <w:proofErr w:type="spellStart"/>
            <w:r w:rsidRPr="0025440D">
              <w:rPr>
                <w:rFonts w:ascii="Calibri" w:hAnsi="Calibri" w:cs="Arial"/>
                <w:szCs w:val="24"/>
                <w:lang w:val="es-AR"/>
              </w:rPr>
              <w:t>rinotraqueítis</w:t>
            </w:r>
            <w:proofErr w:type="spellEnd"/>
            <w:r w:rsidRPr="0025440D">
              <w:rPr>
                <w:rFonts w:ascii="Calibri" w:hAnsi="Calibri" w:cs="Arial"/>
                <w:szCs w:val="24"/>
                <w:lang w:val="es-AR"/>
              </w:rPr>
              <w:t xml:space="preserve"> infecciosa bovina / vulvovaginitis </w:t>
            </w:r>
            <w:proofErr w:type="spellStart"/>
            <w:r w:rsidRPr="0025440D">
              <w:rPr>
                <w:rFonts w:ascii="Calibri" w:hAnsi="Calibri" w:cs="Arial"/>
                <w:szCs w:val="24"/>
                <w:lang w:val="es-AR"/>
              </w:rPr>
              <w:t>pustular</w:t>
            </w:r>
            <w:proofErr w:type="spellEnd"/>
            <w:r w:rsidRPr="0025440D">
              <w:rPr>
                <w:rFonts w:ascii="Calibri" w:hAnsi="Calibri" w:cs="Arial"/>
                <w:szCs w:val="24"/>
                <w:lang w:val="es-AR"/>
              </w:rPr>
              <w:t xml:space="preserve"> infecciosa realizada sobre una muestra de sangre extraída al menos 21 días después de la recolección de semen, o bien</w:t>
            </w:r>
            <w:r w:rsidRPr="0025440D">
              <w:rPr>
                <w:rFonts w:ascii="Calibri" w:hAnsi="Calibri" w:cs="Arial"/>
                <w:szCs w:val="24"/>
              </w:rPr>
              <w:t xml:space="preserve">or </w:t>
            </w:r>
          </w:p>
          <w:p w14:paraId="5AEBA0C1" w14:textId="77777777" w:rsidR="00220D8E" w:rsidRPr="0025440D" w:rsidRDefault="00220D8E" w:rsidP="00220D8E">
            <w:pPr>
              <w:spacing w:line="360" w:lineRule="auto"/>
              <w:ind w:left="792"/>
              <w:jc w:val="both"/>
              <w:rPr>
                <w:rFonts w:ascii="Calibri" w:hAnsi="Calibri" w:cs="Arial"/>
                <w:i/>
                <w:szCs w:val="24"/>
              </w:rPr>
            </w:pPr>
            <w:r w:rsidRPr="0025440D">
              <w:rPr>
                <w:rFonts w:ascii="Calibri" w:hAnsi="Calibri" w:cs="Arial"/>
                <w:i/>
                <w:szCs w:val="24"/>
              </w:rPr>
              <w:t xml:space="preserve">The donor sire(s) was / were kept isolated at the time of semen </w:t>
            </w:r>
            <w:proofErr w:type="gramStart"/>
            <w:r w:rsidRPr="0025440D">
              <w:rPr>
                <w:rFonts w:ascii="Calibri" w:hAnsi="Calibri" w:cs="Arial"/>
                <w:i/>
                <w:szCs w:val="24"/>
              </w:rPr>
              <w:t>collection  and</w:t>
            </w:r>
            <w:proofErr w:type="gramEnd"/>
            <w:r w:rsidRPr="0025440D">
              <w:rPr>
                <w:rFonts w:ascii="Calibri" w:hAnsi="Calibri" w:cs="Arial"/>
                <w:i/>
                <w:szCs w:val="24"/>
              </w:rPr>
              <w:t xml:space="preserve"> for the following 30 days, and showed negative results to a diagnostic test for the detection of bovine infectious rhinotracheitis / infectious pustular vulvovaginitis performed on a blood sample taken at least 21 days after semen collection, or</w:t>
            </w:r>
          </w:p>
          <w:p w14:paraId="1C82EF2C" w14:textId="77777777" w:rsidR="00220D8E" w:rsidRPr="0025440D" w:rsidRDefault="00220D8E" w:rsidP="00220D8E">
            <w:pPr>
              <w:numPr>
                <w:ilvl w:val="1"/>
                <w:numId w:val="17"/>
              </w:numPr>
              <w:spacing w:line="360" w:lineRule="auto"/>
              <w:jc w:val="both"/>
              <w:rPr>
                <w:rFonts w:ascii="Calibri" w:hAnsi="Calibri" w:cs="Arial"/>
                <w:szCs w:val="24"/>
                <w:lang w:val="es-AR"/>
              </w:rPr>
            </w:pPr>
            <w:r w:rsidRPr="0025440D">
              <w:rPr>
                <w:rFonts w:ascii="Calibri" w:hAnsi="Calibri" w:cs="Arial"/>
                <w:szCs w:val="24"/>
                <w:lang w:val="es-AR"/>
              </w:rPr>
              <w:t>Si se desconoce el estado del toro o si el reproductor donante se serológicamente positivo, una alícuota de toda recolección de semen para la exportación a Colombia ha sido sometida a prueba de aislamiento viral o PCR, con resultados negativos.</w:t>
            </w:r>
          </w:p>
          <w:p w14:paraId="661E2EDE" w14:textId="77777777" w:rsidR="00220D8E" w:rsidRPr="00F6064B" w:rsidRDefault="00220D8E" w:rsidP="00220D8E">
            <w:pPr>
              <w:spacing w:after="120" w:line="360" w:lineRule="auto"/>
              <w:ind w:left="792"/>
              <w:jc w:val="both"/>
              <w:rPr>
                <w:rFonts w:ascii="Calibri" w:hAnsi="Calibri" w:cs="Arial"/>
                <w:i/>
                <w:szCs w:val="24"/>
                <w:lang w:val="es-AR"/>
              </w:rPr>
            </w:pPr>
            <w:r w:rsidRPr="00F6064B">
              <w:rPr>
                <w:rFonts w:ascii="Calibri" w:hAnsi="Calibri" w:cs="Arial"/>
                <w:i/>
                <w:szCs w:val="24"/>
              </w:rPr>
              <w:t xml:space="preserve">If the serological status of the bull is unknown or if the donor sire is serologically positive, an aliquot of every semen collection for export to Colombia was subjected to a virus isolation test or PCR, with negative results. </w:t>
            </w:r>
          </w:p>
          <w:p w14:paraId="2EF8EA38" w14:textId="77777777" w:rsidR="00220D8E" w:rsidRPr="005B2382" w:rsidRDefault="00220D8E" w:rsidP="00220D8E">
            <w:pPr>
              <w:numPr>
                <w:ilvl w:val="0"/>
                <w:numId w:val="18"/>
              </w:numPr>
              <w:spacing w:line="360" w:lineRule="auto"/>
              <w:jc w:val="both"/>
              <w:rPr>
                <w:rFonts w:ascii="Calibri" w:hAnsi="Calibri" w:cs="Arial"/>
                <w:szCs w:val="24"/>
              </w:rPr>
            </w:pPr>
            <w:r w:rsidRPr="005B2382">
              <w:rPr>
                <w:rFonts w:ascii="Calibri" w:hAnsi="Calibri" w:cs="Arial"/>
                <w:szCs w:val="24"/>
                <w:lang w:val="es-AR"/>
              </w:rPr>
              <w:t xml:space="preserve">LEPTOSPIROSIS / </w:t>
            </w:r>
            <w:r w:rsidRPr="005B2382">
              <w:rPr>
                <w:rFonts w:ascii="Calibri" w:hAnsi="Calibri" w:cs="Arial"/>
                <w:szCs w:val="24"/>
              </w:rPr>
              <w:t>LEPTOSPIROSIS</w:t>
            </w:r>
          </w:p>
          <w:p w14:paraId="1E3E2B94" w14:textId="77777777" w:rsidR="00220D8E" w:rsidRPr="005B2382" w:rsidRDefault="00220D8E" w:rsidP="00220D8E">
            <w:pPr>
              <w:spacing w:line="360" w:lineRule="auto"/>
              <w:ind w:left="399"/>
              <w:jc w:val="both"/>
              <w:rPr>
                <w:rFonts w:ascii="Calibri" w:hAnsi="Calibri" w:cs="Arial"/>
                <w:szCs w:val="24"/>
                <w:lang w:val="es-AR"/>
              </w:rPr>
            </w:pPr>
            <w:r w:rsidRPr="005B2382">
              <w:rPr>
                <w:rFonts w:ascii="Calibri" w:hAnsi="Calibri" w:cs="Arial"/>
                <w:szCs w:val="24"/>
                <w:lang w:val="es-AR"/>
              </w:rPr>
              <w:lastRenderedPageBreak/>
              <w:t xml:space="preserve">Prueba de </w:t>
            </w:r>
            <w:proofErr w:type="spellStart"/>
            <w:r w:rsidRPr="005B2382">
              <w:rPr>
                <w:rFonts w:ascii="Calibri" w:hAnsi="Calibri" w:cs="Arial"/>
                <w:szCs w:val="24"/>
                <w:lang w:val="es-AR"/>
              </w:rPr>
              <w:t>microaglutinación</w:t>
            </w:r>
            <w:proofErr w:type="spellEnd"/>
            <w:r w:rsidRPr="005B2382">
              <w:rPr>
                <w:rFonts w:ascii="Calibri" w:hAnsi="Calibri" w:cs="Arial"/>
                <w:szCs w:val="24"/>
                <w:lang w:val="es-AR"/>
              </w:rPr>
              <w:t xml:space="preserve"> para </w:t>
            </w:r>
            <w:r w:rsidRPr="005B2382">
              <w:rPr>
                <w:rFonts w:ascii="Calibri" w:hAnsi="Calibri" w:cs="Arial"/>
                <w:i/>
                <w:szCs w:val="24"/>
                <w:lang w:val="es-AR"/>
              </w:rPr>
              <w:t xml:space="preserve">L. </w:t>
            </w:r>
            <w:proofErr w:type="spellStart"/>
            <w:r w:rsidRPr="005B2382">
              <w:rPr>
                <w:rFonts w:ascii="Calibri" w:hAnsi="Calibri" w:cs="Arial"/>
                <w:i/>
                <w:szCs w:val="24"/>
                <w:lang w:val="es-AR"/>
              </w:rPr>
              <w:t>canicola</w:t>
            </w:r>
            <w:proofErr w:type="spellEnd"/>
            <w:r w:rsidRPr="005B2382">
              <w:rPr>
                <w:rFonts w:ascii="Calibri" w:hAnsi="Calibri" w:cs="Arial"/>
                <w:i/>
                <w:szCs w:val="24"/>
                <w:lang w:val="es-AR"/>
              </w:rPr>
              <w:t xml:space="preserve">, L. </w:t>
            </w:r>
            <w:proofErr w:type="spellStart"/>
            <w:r w:rsidRPr="005B2382">
              <w:rPr>
                <w:rFonts w:ascii="Calibri" w:hAnsi="Calibri" w:cs="Arial"/>
                <w:i/>
                <w:szCs w:val="24"/>
                <w:lang w:val="es-AR"/>
              </w:rPr>
              <w:t>grippotyphosa</w:t>
            </w:r>
            <w:proofErr w:type="spellEnd"/>
            <w:r w:rsidRPr="005B2382">
              <w:rPr>
                <w:rFonts w:ascii="Calibri" w:hAnsi="Calibri" w:cs="Arial"/>
                <w:i/>
                <w:szCs w:val="24"/>
                <w:lang w:val="es-AR"/>
              </w:rPr>
              <w:t xml:space="preserve">, L. </w:t>
            </w:r>
            <w:proofErr w:type="spellStart"/>
            <w:r w:rsidRPr="005B2382">
              <w:rPr>
                <w:rFonts w:ascii="Calibri" w:hAnsi="Calibri" w:cs="Arial"/>
                <w:i/>
                <w:szCs w:val="24"/>
                <w:lang w:val="es-AR"/>
              </w:rPr>
              <w:t>hardjo</w:t>
            </w:r>
            <w:proofErr w:type="spellEnd"/>
            <w:r w:rsidRPr="005B2382">
              <w:rPr>
                <w:rFonts w:ascii="Calibri" w:hAnsi="Calibri" w:cs="Arial"/>
                <w:i/>
                <w:szCs w:val="24"/>
                <w:lang w:val="es-AR"/>
              </w:rPr>
              <w:t xml:space="preserve">, L. </w:t>
            </w:r>
            <w:proofErr w:type="spellStart"/>
            <w:r w:rsidRPr="005B2382">
              <w:rPr>
                <w:rFonts w:ascii="Calibri" w:hAnsi="Calibri" w:cs="Arial"/>
                <w:i/>
                <w:szCs w:val="24"/>
                <w:lang w:val="es-AR"/>
              </w:rPr>
              <w:t>pomona</w:t>
            </w:r>
            <w:proofErr w:type="spellEnd"/>
            <w:r w:rsidRPr="005B2382">
              <w:rPr>
                <w:rFonts w:ascii="Calibri" w:hAnsi="Calibri" w:cs="Arial"/>
                <w:szCs w:val="24"/>
                <w:lang w:val="es-AR"/>
              </w:rPr>
              <w:t xml:space="preserve"> y </w:t>
            </w:r>
            <w:r w:rsidRPr="005B2382">
              <w:rPr>
                <w:rFonts w:ascii="Calibri" w:hAnsi="Calibri" w:cs="Arial"/>
                <w:i/>
                <w:szCs w:val="24"/>
                <w:lang w:val="es-AR"/>
              </w:rPr>
              <w:t xml:space="preserve">L </w:t>
            </w:r>
            <w:proofErr w:type="spellStart"/>
            <w:r w:rsidRPr="005B2382">
              <w:rPr>
                <w:rFonts w:ascii="Calibri" w:hAnsi="Calibri" w:cs="Arial"/>
                <w:i/>
                <w:szCs w:val="24"/>
                <w:lang w:val="es-AR"/>
              </w:rPr>
              <w:t>icterohaemorrhagiae</w:t>
            </w:r>
            <w:proofErr w:type="spellEnd"/>
            <w:r w:rsidRPr="005B2382">
              <w:rPr>
                <w:rFonts w:ascii="Calibri" w:hAnsi="Calibri" w:cs="Arial"/>
                <w:szCs w:val="24"/>
                <w:lang w:val="es-AR"/>
              </w:rPr>
              <w:t xml:space="preserve"> a dilución 1:100. En lugar de la prueba requerida, los animales donantes podrán ser tratados con </w:t>
            </w:r>
            <w:proofErr w:type="spellStart"/>
            <w:r w:rsidRPr="005B2382">
              <w:rPr>
                <w:rFonts w:ascii="Calibri" w:hAnsi="Calibri" w:cs="Arial"/>
                <w:szCs w:val="24"/>
                <w:lang w:val="es-AR"/>
              </w:rPr>
              <w:t>oxitetracilina</w:t>
            </w:r>
            <w:proofErr w:type="spellEnd"/>
            <w:r w:rsidRPr="005B2382">
              <w:rPr>
                <w:rFonts w:ascii="Calibri" w:hAnsi="Calibri" w:cs="Arial"/>
                <w:szCs w:val="24"/>
                <w:lang w:val="es-AR"/>
              </w:rPr>
              <w:t xml:space="preserve">, a una dosis de 20 mg por kg, dentro de los 14 días previos a la recolección de semen. Si el toro donante exhibiera títulos mayores que 1:100 y menores que 1:400 para todos los </w:t>
            </w:r>
            <w:proofErr w:type="spellStart"/>
            <w:r w:rsidRPr="005B2382">
              <w:rPr>
                <w:rFonts w:ascii="Calibri" w:hAnsi="Calibri" w:cs="Arial"/>
                <w:szCs w:val="24"/>
                <w:lang w:val="es-AR"/>
              </w:rPr>
              <w:t>serovares</w:t>
            </w:r>
            <w:proofErr w:type="spellEnd"/>
            <w:r w:rsidRPr="005B2382">
              <w:rPr>
                <w:rFonts w:ascii="Calibri" w:hAnsi="Calibri" w:cs="Arial"/>
                <w:szCs w:val="24"/>
                <w:lang w:val="es-AR"/>
              </w:rPr>
              <w:t xml:space="preserve"> de </w:t>
            </w:r>
            <w:proofErr w:type="spellStart"/>
            <w:r w:rsidRPr="005B2382">
              <w:rPr>
                <w:rFonts w:ascii="Calibri" w:hAnsi="Calibri" w:cs="Arial"/>
                <w:i/>
                <w:szCs w:val="24"/>
                <w:lang w:val="es-AR"/>
              </w:rPr>
              <w:t>Leptospira</w:t>
            </w:r>
            <w:proofErr w:type="spellEnd"/>
            <w:r w:rsidRPr="005B2382">
              <w:rPr>
                <w:rFonts w:ascii="Calibri" w:hAnsi="Calibri" w:cs="Arial"/>
                <w:szCs w:val="24"/>
                <w:lang w:val="es-AR"/>
              </w:rPr>
              <w:t xml:space="preserve">, excepción hecha de </w:t>
            </w:r>
            <w:r w:rsidRPr="005B2382">
              <w:rPr>
                <w:rFonts w:ascii="Calibri" w:hAnsi="Calibri" w:cs="Arial"/>
                <w:i/>
                <w:szCs w:val="24"/>
                <w:lang w:val="es-AR"/>
              </w:rPr>
              <w:t xml:space="preserve">L. </w:t>
            </w:r>
            <w:proofErr w:type="spellStart"/>
            <w:r w:rsidRPr="005B2382">
              <w:rPr>
                <w:rFonts w:ascii="Calibri" w:hAnsi="Calibri" w:cs="Arial"/>
                <w:i/>
                <w:szCs w:val="24"/>
                <w:lang w:val="es-AR"/>
              </w:rPr>
              <w:t>hardjo</w:t>
            </w:r>
            <w:proofErr w:type="spellEnd"/>
            <w:r w:rsidRPr="005B2382">
              <w:rPr>
                <w:rFonts w:ascii="Calibri" w:hAnsi="Calibri" w:cs="Arial"/>
                <w:szCs w:val="24"/>
                <w:lang w:val="es-AR"/>
              </w:rPr>
              <w:t>, podrá ser tratado con oxitetraciclina, a una dosis de 20 mg por kg, dentro de los 14 días previos a la recolección de semen.</w:t>
            </w:r>
          </w:p>
          <w:p w14:paraId="521AA04F" w14:textId="77777777" w:rsidR="00220D8E" w:rsidRPr="0025440D" w:rsidRDefault="00220D8E" w:rsidP="00220D8E">
            <w:pPr>
              <w:spacing w:after="120" w:line="360" w:lineRule="auto"/>
              <w:ind w:left="399"/>
              <w:jc w:val="both"/>
              <w:rPr>
                <w:rFonts w:ascii="Calibri" w:hAnsi="Calibri" w:cs="Arial"/>
                <w:i/>
                <w:szCs w:val="24"/>
              </w:rPr>
            </w:pPr>
            <w:r w:rsidRPr="0025440D">
              <w:rPr>
                <w:rFonts w:ascii="Calibri" w:hAnsi="Calibri" w:cs="Arial"/>
                <w:i/>
                <w:szCs w:val="24"/>
              </w:rPr>
              <w:t xml:space="preserve">Microagglutination test at a 1:100 dilution for L. </w:t>
            </w:r>
            <w:proofErr w:type="spellStart"/>
            <w:r w:rsidRPr="0025440D">
              <w:rPr>
                <w:rFonts w:ascii="Calibri" w:hAnsi="Calibri" w:cs="Arial"/>
                <w:i/>
                <w:szCs w:val="24"/>
              </w:rPr>
              <w:t>canicola</w:t>
            </w:r>
            <w:proofErr w:type="spellEnd"/>
            <w:r w:rsidRPr="0025440D">
              <w:rPr>
                <w:rFonts w:ascii="Calibri" w:hAnsi="Calibri" w:cs="Arial"/>
                <w:i/>
                <w:szCs w:val="24"/>
              </w:rPr>
              <w:t xml:space="preserve">, L. </w:t>
            </w:r>
            <w:proofErr w:type="spellStart"/>
            <w:r w:rsidRPr="0025440D">
              <w:rPr>
                <w:rFonts w:ascii="Calibri" w:hAnsi="Calibri" w:cs="Arial"/>
                <w:i/>
                <w:szCs w:val="24"/>
              </w:rPr>
              <w:t>grippotyphosa</w:t>
            </w:r>
            <w:proofErr w:type="spellEnd"/>
            <w:r w:rsidRPr="0025440D">
              <w:rPr>
                <w:rFonts w:ascii="Calibri" w:hAnsi="Calibri" w:cs="Arial"/>
                <w:i/>
                <w:szCs w:val="24"/>
              </w:rPr>
              <w:t xml:space="preserve">, L. </w:t>
            </w:r>
            <w:proofErr w:type="spellStart"/>
            <w:r w:rsidRPr="0025440D">
              <w:rPr>
                <w:rFonts w:ascii="Calibri" w:hAnsi="Calibri" w:cs="Arial"/>
                <w:i/>
                <w:szCs w:val="24"/>
              </w:rPr>
              <w:t>hardjo</w:t>
            </w:r>
            <w:proofErr w:type="spellEnd"/>
            <w:r w:rsidRPr="0025440D">
              <w:rPr>
                <w:rFonts w:ascii="Calibri" w:hAnsi="Calibri" w:cs="Arial"/>
                <w:i/>
                <w:szCs w:val="24"/>
              </w:rPr>
              <w:t xml:space="preserve">, L. </w:t>
            </w:r>
            <w:proofErr w:type="spellStart"/>
            <w:r w:rsidRPr="0025440D">
              <w:rPr>
                <w:rFonts w:ascii="Calibri" w:hAnsi="Calibri" w:cs="Arial"/>
                <w:i/>
                <w:szCs w:val="24"/>
              </w:rPr>
              <w:t>pomona</w:t>
            </w:r>
            <w:proofErr w:type="spellEnd"/>
            <w:r w:rsidRPr="0025440D">
              <w:rPr>
                <w:rFonts w:ascii="Calibri" w:hAnsi="Calibri" w:cs="Arial"/>
                <w:i/>
                <w:szCs w:val="24"/>
              </w:rPr>
              <w:t xml:space="preserve"> and L </w:t>
            </w:r>
            <w:proofErr w:type="spellStart"/>
            <w:r w:rsidRPr="0025440D">
              <w:rPr>
                <w:rFonts w:ascii="Calibri" w:hAnsi="Calibri" w:cs="Arial"/>
                <w:i/>
                <w:szCs w:val="24"/>
              </w:rPr>
              <w:t>icterohaemorrhagiae</w:t>
            </w:r>
            <w:proofErr w:type="spellEnd"/>
            <w:r w:rsidRPr="0025440D">
              <w:rPr>
                <w:rFonts w:ascii="Calibri" w:hAnsi="Calibri" w:cs="Arial"/>
                <w:i/>
                <w:szCs w:val="24"/>
              </w:rPr>
              <w:t xml:space="preserve">. In lieu of the required test, the donor animals may be treated with </w:t>
            </w:r>
            <w:proofErr w:type="spellStart"/>
            <w:r w:rsidRPr="0025440D">
              <w:rPr>
                <w:rFonts w:ascii="Calibri" w:hAnsi="Calibri" w:cs="Arial"/>
                <w:i/>
                <w:szCs w:val="24"/>
              </w:rPr>
              <w:t>oxytetracyline</w:t>
            </w:r>
            <w:proofErr w:type="spellEnd"/>
            <w:r w:rsidRPr="0025440D">
              <w:rPr>
                <w:rFonts w:ascii="Calibri" w:hAnsi="Calibri" w:cs="Arial"/>
                <w:i/>
                <w:szCs w:val="24"/>
              </w:rPr>
              <w:t xml:space="preserve">, at a rate of 20 mg per kg, within the 14 days preceding semen collection. If a donor bull shows titres higher than 1:100 and lower than 1:400 for all the serovars of Leptospira except for L. </w:t>
            </w:r>
            <w:proofErr w:type="spellStart"/>
            <w:r w:rsidRPr="0025440D">
              <w:rPr>
                <w:rFonts w:ascii="Calibri" w:hAnsi="Calibri" w:cs="Arial"/>
                <w:i/>
                <w:szCs w:val="24"/>
              </w:rPr>
              <w:t>hardjo</w:t>
            </w:r>
            <w:proofErr w:type="spellEnd"/>
            <w:r w:rsidRPr="0025440D">
              <w:rPr>
                <w:rFonts w:ascii="Calibri" w:hAnsi="Calibri" w:cs="Arial"/>
                <w:i/>
                <w:szCs w:val="24"/>
              </w:rPr>
              <w:t xml:space="preserve">, it may be treated with </w:t>
            </w:r>
            <w:proofErr w:type="spellStart"/>
            <w:r w:rsidRPr="0025440D">
              <w:rPr>
                <w:rFonts w:ascii="Calibri" w:hAnsi="Calibri" w:cs="Arial"/>
                <w:i/>
                <w:szCs w:val="24"/>
              </w:rPr>
              <w:t>oxytetracyline</w:t>
            </w:r>
            <w:proofErr w:type="spellEnd"/>
            <w:r w:rsidRPr="0025440D">
              <w:rPr>
                <w:rFonts w:ascii="Calibri" w:hAnsi="Calibri" w:cs="Arial"/>
                <w:i/>
                <w:szCs w:val="24"/>
              </w:rPr>
              <w:t>, at a rate of 20 mg per kg, within the 14 days preceding semen collection.</w:t>
            </w:r>
          </w:p>
          <w:p w14:paraId="6284E4D8" w14:textId="77777777" w:rsidR="00220D8E" w:rsidRPr="005B2382" w:rsidRDefault="00220D8E" w:rsidP="00220D8E">
            <w:pPr>
              <w:numPr>
                <w:ilvl w:val="0"/>
                <w:numId w:val="18"/>
              </w:numPr>
              <w:spacing w:line="360" w:lineRule="auto"/>
              <w:jc w:val="both"/>
              <w:rPr>
                <w:rFonts w:ascii="Calibri" w:hAnsi="Calibri" w:cs="Arial"/>
                <w:szCs w:val="24"/>
                <w:lang w:val="es-AR"/>
              </w:rPr>
            </w:pPr>
            <w:r w:rsidRPr="005B2382">
              <w:rPr>
                <w:rFonts w:ascii="Calibri" w:hAnsi="Calibri" w:cs="Arial"/>
                <w:szCs w:val="24"/>
                <w:lang w:val="es-AR"/>
              </w:rPr>
              <w:t xml:space="preserve">ENFERMEDAD DE AKABANE / </w:t>
            </w:r>
            <w:r w:rsidRPr="005B2382">
              <w:rPr>
                <w:rFonts w:ascii="Calibri" w:hAnsi="Calibri" w:cs="Arial"/>
                <w:szCs w:val="24"/>
              </w:rPr>
              <w:t>AKABANE DISEASE</w:t>
            </w:r>
          </w:p>
          <w:p w14:paraId="1F4C0CC2" w14:textId="77777777" w:rsidR="00220D8E" w:rsidRDefault="00220D8E" w:rsidP="00220D8E">
            <w:pPr>
              <w:spacing w:line="360" w:lineRule="auto"/>
              <w:ind w:left="426"/>
              <w:jc w:val="both"/>
              <w:rPr>
                <w:rFonts w:ascii="Calibri" w:hAnsi="Calibri" w:cs="Arial"/>
                <w:szCs w:val="24"/>
                <w:lang w:val="es-AR"/>
              </w:rPr>
            </w:pPr>
            <w:r w:rsidRPr="005B2382">
              <w:rPr>
                <w:rFonts w:ascii="Calibri" w:hAnsi="Calibri" w:cs="Arial"/>
                <w:szCs w:val="24"/>
                <w:lang w:val="es-AR"/>
              </w:rPr>
              <w:t xml:space="preserve">Los donantes fueron sometidos a una prueba de </w:t>
            </w:r>
            <w:proofErr w:type="spellStart"/>
            <w:r w:rsidRPr="005B2382">
              <w:rPr>
                <w:rFonts w:ascii="Calibri" w:hAnsi="Calibri" w:cs="Arial"/>
                <w:szCs w:val="24"/>
                <w:lang w:val="es-AR"/>
              </w:rPr>
              <w:t>seroneutralización</w:t>
            </w:r>
            <w:proofErr w:type="spellEnd"/>
            <w:r w:rsidRPr="005B2382">
              <w:rPr>
                <w:rFonts w:ascii="Calibri" w:hAnsi="Calibri" w:cs="Arial"/>
                <w:szCs w:val="24"/>
                <w:lang w:val="es-AR"/>
              </w:rPr>
              <w:t xml:space="preserve"> entre los 7 y los 30 días previos a la recolección de semen. Los donantes con resultados negativos a estas pruebas antes de la recolección de semen deben ser sometidos a pruebas nuevamente, con resultados negativos, al menos 7 días después del período de recolección de semen. El semen recolectado de donantes que exhiban</w:t>
            </w:r>
          </w:p>
          <w:p w14:paraId="43924398" w14:textId="77777777" w:rsidR="00220D8E" w:rsidRPr="00F6064B" w:rsidRDefault="00220D8E" w:rsidP="00220D8E">
            <w:pPr>
              <w:spacing w:after="240" w:line="360" w:lineRule="auto"/>
              <w:ind w:left="426"/>
              <w:jc w:val="both"/>
              <w:rPr>
                <w:rFonts w:ascii="Calibri" w:hAnsi="Calibri" w:cs="Arial"/>
                <w:i/>
                <w:szCs w:val="24"/>
              </w:rPr>
            </w:pPr>
            <w:r w:rsidRPr="00F6064B">
              <w:rPr>
                <w:rFonts w:ascii="Calibri" w:hAnsi="Calibri" w:cs="Arial"/>
                <w:i/>
                <w:szCs w:val="24"/>
              </w:rPr>
              <w:t xml:space="preserve">The donors were subjected to a </w:t>
            </w:r>
            <w:proofErr w:type="spellStart"/>
            <w:r w:rsidRPr="00F6064B">
              <w:rPr>
                <w:rFonts w:ascii="Calibri" w:hAnsi="Calibri" w:cs="Arial"/>
                <w:i/>
                <w:szCs w:val="24"/>
              </w:rPr>
              <w:t>seroneutralisation</w:t>
            </w:r>
            <w:proofErr w:type="spellEnd"/>
            <w:r w:rsidRPr="00F6064B">
              <w:rPr>
                <w:rFonts w:ascii="Calibri" w:hAnsi="Calibri" w:cs="Arial"/>
                <w:i/>
                <w:szCs w:val="24"/>
              </w:rPr>
              <w:t xml:space="preserve"> test between 7 and 30 days prior to semen        collection. The donors with negative results to the tests prior to semen collection must be retested with negative results at least 7 days following the semen collection period. The semen collected from donors showing </w:t>
            </w:r>
          </w:p>
          <w:p w14:paraId="5D38053E" w14:textId="77777777" w:rsidR="00220D8E" w:rsidRPr="00F6064B" w:rsidRDefault="00220D8E" w:rsidP="00220D8E">
            <w:pPr>
              <w:numPr>
                <w:ilvl w:val="1"/>
                <w:numId w:val="18"/>
              </w:numPr>
              <w:spacing w:line="360" w:lineRule="auto"/>
              <w:jc w:val="both"/>
              <w:rPr>
                <w:rFonts w:ascii="Calibri" w:hAnsi="Calibri" w:cs="Arial"/>
                <w:i/>
                <w:szCs w:val="24"/>
              </w:rPr>
            </w:pPr>
            <w:r w:rsidRPr="00F6064B">
              <w:rPr>
                <w:rFonts w:ascii="Calibri" w:hAnsi="Calibri" w:cs="Arial"/>
                <w:szCs w:val="24"/>
                <w:lang w:val="es-AR"/>
              </w:rPr>
              <w:t xml:space="preserve">resultados positivos a las pruebas realizadas antes de la recolección de semen, es aceptable para la exportación / </w:t>
            </w:r>
            <w:r w:rsidRPr="00F6064B">
              <w:rPr>
                <w:rFonts w:ascii="Calibri" w:hAnsi="Calibri" w:cs="Arial"/>
                <w:i/>
                <w:szCs w:val="24"/>
              </w:rPr>
              <w:t xml:space="preserve">positive results to the tests performed prior to semen collection is acceptable for export. </w:t>
            </w:r>
          </w:p>
          <w:p w14:paraId="492E125C" w14:textId="77777777" w:rsidR="00220D8E" w:rsidRPr="00F6064B" w:rsidRDefault="00220D8E" w:rsidP="00220D8E">
            <w:pPr>
              <w:numPr>
                <w:ilvl w:val="1"/>
                <w:numId w:val="18"/>
              </w:numPr>
              <w:spacing w:line="360" w:lineRule="auto"/>
              <w:jc w:val="both"/>
              <w:rPr>
                <w:rFonts w:ascii="Calibri" w:hAnsi="Calibri" w:cs="Arial"/>
                <w:szCs w:val="24"/>
              </w:rPr>
            </w:pPr>
            <w:r w:rsidRPr="00F6064B">
              <w:rPr>
                <w:rFonts w:ascii="Calibri" w:hAnsi="Calibri" w:cs="Arial"/>
                <w:szCs w:val="24"/>
                <w:lang w:val="es-AR"/>
              </w:rPr>
              <w:t xml:space="preserve">resultados negativos a las pruebas realizadas antes y después de la recolección de semen, es aceptable para la exportación / </w:t>
            </w:r>
            <w:r w:rsidRPr="00F6064B">
              <w:rPr>
                <w:rFonts w:ascii="Calibri" w:hAnsi="Calibri" w:cs="Arial"/>
                <w:i/>
                <w:szCs w:val="24"/>
              </w:rPr>
              <w:t>negative results to the tests performed prior to and after semen collection is acceptable for export.</w:t>
            </w:r>
          </w:p>
          <w:p w14:paraId="07833069" w14:textId="77777777" w:rsidR="00220D8E" w:rsidRPr="00F6064B" w:rsidRDefault="00220D8E" w:rsidP="00220D8E">
            <w:pPr>
              <w:numPr>
                <w:ilvl w:val="1"/>
                <w:numId w:val="18"/>
              </w:numPr>
              <w:spacing w:after="120" w:line="360" w:lineRule="auto"/>
              <w:jc w:val="both"/>
              <w:rPr>
                <w:rFonts w:ascii="Calibri" w:hAnsi="Calibri" w:cs="Arial"/>
                <w:szCs w:val="24"/>
              </w:rPr>
            </w:pPr>
            <w:r w:rsidRPr="00F6064B">
              <w:rPr>
                <w:rFonts w:ascii="Calibri" w:hAnsi="Calibri" w:cs="Arial"/>
                <w:szCs w:val="24"/>
                <w:lang w:val="es-AR"/>
              </w:rPr>
              <w:lastRenderedPageBreak/>
              <w:t xml:space="preserve">resultados negativos a las pruebas realizadas antes de la </w:t>
            </w:r>
            <w:proofErr w:type="gramStart"/>
            <w:r w:rsidRPr="00F6064B">
              <w:rPr>
                <w:rFonts w:ascii="Calibri" w:hAnsi="Calibri" w:cs="Arial"/>
                <w:szCs w:val="24"/>
                <w:lang w:val="es-AR"/>
              </w:rPr>
              <w:t>recolección</w:t>
            </w:r>
            <w:proofErr w:type="gramEnd"/>
            <w:r w:rsidRPr="00F6064B">
              <w:rPr>
                <w:rFonts w:ascii="Calibri" w:hAnsi="Calibri" w:cs="Arial"/>
                <w:szCs w:val="24"/>
                <w:lang w:val="es-AR"/>
              </w:rPr>
              <w:t xml:space="preserve"> pero positivos después de la recolección, no es aceptable para la exportación / </w:t>
            </w:r>
            <w:r w:rsidRPr="00F6064B">
              <w:rPr>
                <w:rFonts w:ascii="Calibri" w:hAnsi="Calibri" w:cs="Arial"/>
                <w:i/>
                <w:szCs w:val="24"/>
              </w:rPr>
              <w:t xml:space="preserve">negative results to the tests prior to collection but positive results after semen collection is not acceptable for export. </w:t>
            </w:r>
          </w:p>
          <w:p w14:paraId="4EE4EF94" w14:textId="77777777" w:rsidR="00220D8E" w:rsidRPr="005B2382" w:rsidRDefault="00220D8E" w:rsidP="00220D8E">
            <w:pPr>
              <w:numPr>
                <w:ilvl w:val="0"/>
                <w:numId w:val="18"/>
              </w:numPr>
              <w:spacing w:line="360" w:lineRule="auto"/>
              <w:jc w:val="both"/>
              <w:rPr>
                <w:rFonts w:ascii="Calibri" w:hAnsi="Calibri" w:cs="Arial"/>
                <w:szCs w:val="24"/>
                <w:lang w:val="es-AR"/>
              </w:rPr>
            </w:pPr>
            <w:r w:rsidRPr="005B2382">
              <w:rPr>
                <w:rFonts w:ascii="Calibri" w:hAnsi="Calibri" w:cs="Arial"/>
                <w:szCs w:val="24"/>
                <w:lang w:val="es-AR"/>
              </w:rPr>
              <w:t xml:space="preserve">En el momento de la recolección de semen, los toros donantes se encontraron libres de signos </w:t>
            </w:r>
            <w:r>
              <w:rPr>
                <w:rFonts w:ascii="Calibri" w:hAnsi="Calibri" w:cs="Arial"/>
                <w:szCs w:val="24"/>
                <w:lang w:val="es-AR"/>
              </w:rPr>
              <w:t xml:space="preserve">  </w:t>
            </w:r>
            <w:r w:rsidRPr="005B2382">
              <w:rPr>
                <w:rFonts w:ascii="Calibri" w:hAnsi="Calibri" w:cs="Arial"/>
                <w:szCs w:val="24"/>
                <w:lang w:val="es-AR"/>
              </w:rPr>
              <w:t xml:space="preserve">clínicos de fiebre aftosa, brucelosis bovina, </w:t>
            </w:r>
            <w:proofErr w:type="spellStart"/>
            <w:r w:rsidRPr="005B2382">
              <w:rPr>
                <w:rFonts w:ascii="Calibri" w:hAnsi="Calibri" w:cs="Arial"/>
                <w:szCs w:val="24"/>
                <w:lang w:val="es-AR"/>
              </w:rPr>
              <w:t>campilobacteriosis</w:t>
            </w:r>
            <w:proofErr w:type="spellEnd"/>
            <w:r w:rsidRPr="005B2382">
              <w:rPr>
                <w:rFonts w:ascii="Calibri" w:hAnsi="Calibri" w:cs="Arial"/>
                <w:szCs w:val="24"/>
                <w:lang w:val="es-AR"/>
              </w:rPr>
              <w:t xml:space="preserve"> genital, tricomoniasis venérea bovina, tuberculosis bovina, diarrea viral bovina, </w:t>
            </w:r>
            <w:proofErr w:type="spellStart"/>
            <w:r w:rsidRPr="005B2382">
              <w:rPr>
                <w:rFonts w:ascii="Calibri" w:hAnsi="Calibri" w:cs="Arial"/>
                <w:szCs w:val="24"/>
                <w:lang w:val="es-AR"/>
              </w:rPr>
              <w:t>leucosis</w:t>
            </w:r>
            <w:proofErr w:type="spellEnd"/>
            <w:r w:rsidRPr="005B2382">
              <w:rPr>
                <w:rFonts w:ascii="Calibri" w:hAnsi="Calibri" w:cs="Arial"/>
                <w:szCs w:val="24"/>
                <w:lang w:val="es-AR"/>
              </w:rPr>
              <w:t xml:space="preserve"> </w:t>
            </w:r>
            <w:proofErr w:type="spellStart"/>
            <w:r w:rsidRPr="005B2382">
              <w:rPr>
                <w:rFonts w:ascii="Calibri" w:hAnsi="Calibri" w:cs="Arial"/>
                <w:szCs w:val="24"/>
                <w:lang w:val="es-AR"/>
              </w:rPr>
              <w:t>enzoótica</w:t>
            </w:r>
            <w:proofErr w:type="spellEnd"/>
            <w:r w:rsidRPr="005B2382">
              <w:rPr>
                <w:rFonts w:ascii="Calibri" w:hAnsi="Calibri" w:cs="Arial"/>
                <w:szCs w:val="24"/>
                <w:lang w:val="es-AR"/>
              </w:rPr>
              <w:t xml:space="preserve"> bovina, </w:t>
            </w:r>
            <w:proofErr w:type="spellStart"/>
            <w:r w:rsidRPr="005B2382">
              <w:rPr>
                <w:rFonts w:ascii="Calibri" w:hAnsi="Calibri" w:cs="Arial"/>
                <w:szCs w:val="24"/>
                <w:lang w:val="es-AR"/>
              </w:rPr>
              <w:t>rinotraqueítis</w:t>
            </w:r>
            <w:proofErr w:type="spellEnd"/>
            <w:r w:rsidRPr="005B2382">
              <w:rPr>
                <w:rFonts w:ascii="Calibri" w:hAnsi="Calibri" w:cs="Arial"/>
                <w:szCs w:val="24"/>
                <w:lang w:val="es-AR"/>
              </w:rPr>
              <w:t xml:space="preserve"> infecciosa bovina, leptospirosis y paratuberculosis.</w:t>
            </w:r>
          </w:p>
          <w:p w14:paraId="3FC7ECE3" w14:textId="77777777" w:rsidR="00220D8E" w:rsidRPr="00F6064B" w:rsidRDefault="00220D8E" w:rsidP="00220D8E">
            <w:pPr>
              <w:spacing w:after="120" w:line="360" w:lineRule="auto"/>
              <w:ind w:left="360"/>
              <w:jc w:val="both"/>
              <w:rPr>
                <w:rFonts w:ascii="Calibri" w:hAnsi="Calibri" w:cs="Arial"/>
                <w:i/>
                <w:szCs w:val="24"/>
              </w:rPr>
            </w:pPr>
            <w:r w:rsidRPr="00F6064B">
              <w:rPr>
                <w:rFonts w:ascii="Calibri" w:hAnsi="Calibri" w:cs="Arial"/>
                <w:i/>
                <w:szCs w:val="24"/>
              </w:rPr>
              <w:t>At the time of semen collection, the donor bulls were free of clinical signs of foot and mouth disease, bovine brucellosis, genital campylobacteriosis, venereal bovine trichomoniasis, bovine tuberculosis, bovine viral diarrhea, bovine enzootic leukosis, bovine infectious rhinotracheitis, leptospirosis and paratuberculosis.</w:t>
            </w:r>
          </w:p>
          <w:p w14:paraId="73D79E6C" w14:textId="77777777" w:rsidR="00220D8E" w:rsidRPr="005B2382" w:rsidRDefault="00220D8E" w:rsidP="00220D8E">
            <w:pPr>
              <w:numPr>
                <w:ilvl w:val="0"/>
                <w:numId w:val="18"/>
              </w:numPr>
              <w:spacing w:line="360" w:lineRule="auto"/>
              <w:jc w:val="both"/>
              <w:rPr>
                <w:rFonts w:ascii="Calibri" w:hAnsi="Calibri" w:cs="Arial"/>
                <w:szCs w:val="24"/>
                <w:lang w:val="es-AR"/>
              </w:rPr>
            </w:pPr>
            <w:r w:rsidRPr="005B2382">
              <w:rPr>
                <w:rFonts w:ascii="Calibri" w:hAnsi="Calibri" w:cs="Arial"/>
                <w:szCs w:val="24"/>
                <w:lang w:val="es-AR"/>
              </w:rPr>
              <w:t xml:space="preserve">El toro o los toros donantes no exhibieron signos clínicos de enfermedad en los 60 días previos y 30 días posteriores a la recolección de semen, de acuerdo con la certificación del médico veterinario del centro. </w:t>
            </w:r>
          </w:p>
          <w:p w14:paraId="31E58CE5" w14:textId="77777777" w:rsidR="00220D8E" w:rsidRPr="005B2382" w:rsidRDefault="00220D8E" w:rsidP="00220D8E">
            <w:pPr>
              <w:spacing w:after="240" w:line="360" w:lineRule="auto"/>
              <w:ind w:left="360"/>
              <w:jc w:val="both"/>
              <w:rPr>
                <w:rFonts w:ascii="Calibri" w:hAnsi="Calibri" w:cs="Arial"/>
                <w:szCs w:val="24"/>
                <w:lang w:val="es-AR"/>
              </w:rPr>
            </w:pPr>
            <w:r w:rsidRPr="00F6064B">
              <w:rPr>
                <w:rFonts w:ascii="Calibri" w:hAnsi="Calibri" w:cs="Arial"/>
                <w:i/>
                <w:szCs w:val="24"/>
              </w:rPr>
              <w:t xml:space="preserve">The donor bull(s) showed no clinical signs of disease in the 60 days preceding and in the 30 days following semen collection, according to the certification of the centre’s veterinary doctor. </w:t>
            </w:r>
          </w:p>
          <w:p w14:paraId="4E5B0A2D" w14:textId="77777777" w:rsidR="00220D8E" w:rsidRPr="005B2382" w:rsidRDefault="00220D8E" w:rsidP="00220D8E">
            <w:pPr>
              <w:numPr>
                <w:ilvl w:val="0"/>
                <w:numId w:val="18"/>
              </w:numPr>
              <w:spacing w:line="360" w:lineRule="auto"/>
              <w:jc w:val="both"/>
              <w:rPr>
                <w:rFonts w:ascii="Calibri" w:hAnsi="Calibri" w:cs="Arial"/>
                <w:szCs w:val="24"/>
                <w:lang w:val="es-AR"/>
              </w:rPr>
            </w:pPr>
            <w:r w:rsidRPr="005B2382">
              <w:rPr>
                <w:rFonts w:ascii="Calibri" w:hAnsi="Calibri" w:cs="Arial"/>
                <w:szCs w:val="24"/>
                <w:lang w:val="es-AR"/>
              </w:rPr>
              <w:t>La recolección, el tratamiento, la preparación y la preservación de semen se han efectuado en instalaciones dedicadas exclusivamente a este propósito, y bajo estrictas condiciones de higiene.</w:t>
            </w:r>
          </w:p>
          <w:p w14:paraId="15A24A26" w14:textId="77777777" w:rsidR="00220D8E" w:rsidRPr="00F6064B" w:rsidRDefault="00220D8E" w:rsidP="00220D8E">
            <w:pPr>
              <w:spacing w:after="120" w:line="360" w:lineRule="auto"/>
              <w:ind w:left="360"/>
              <w:jc w:val="both"/>
              <w:rPr>
                <w:rFonts w:ascii="Calibri" w:hAnsi="Calibri" w:cs="Arial"/>
                <w:i/>
                <w:szCs w:val="24"/>
              </w:rPr>
            </w:pPr>
            <w:r w:rsidRPr="00F6064B">
              <w:rPr>
                <w:rFonts w:ascii="Calibri" w:hAnsi="Calibri" w:cs="Arial"/>
                <w:i/>
                <w:szCs w:val="24"/>
              </w:rPr>
              <w:t xml:space="preserve">Semen collection, treatment, </w:t>
            </w:r>
            <w:proofErr w:type="gramStart"/>
            <w:r w:rsidRPr="00F6064B">
              <w:rPr>
                <w:rFonts w:ascii="Calibri" w:hAnsi="Calibri" w:cs="Arial"/>
                <w:i/>
                <w:szCs w:val="24"/>
              </w:rPr>
              <w:t>preparation</w:t>
            </w:r>
            <w:proofErr w:type="gramEnd"/>
            <w:r w:rsidRPr="00F6064B">
              <w:rPr>
                <w:rFonts w:ascii="Calibri" w:hAnsi="Calibri" w:cs="Arial"/>
                <w:i/>
                <w:szCs w:val="24"/>
              </w:rPr>
              <w:t xml:space="preserve"> and preservation are performed in premises allocated exclusively for this purpose, and under strict conditions of hygiene.</w:t>
            </w:r>
          </w:p>
          <w:p w14:paraId="0E035991" w14:textId="77777777" w:rsidR="00220D8E" w:rsidRPr="005B2382" w:rsidRDefault="00220D8E" w:rsidP="00220D8E">
            <w:pPr>
              <w:numPr>
                <w:ilvl w:val="0"/>
                <w:numId w:val="18"/>
              </w:numPr>
              <w:spacing w:line="360" w:lineRule="auto"/>
              <w:jc w:val="both"/>
              <w:rPr>
                <w:rFonts w:ascii="Calibri" w:hAnsi="Calibri" w:cs="Arial"/>
                <w:szCs w:val="24"/>
                <w:lang w:val="es-AR"/>
              </w:rPr>
            </w:pPr>
            <w:r w:rsidRPr="005B2382">
              <w:rPr>
                <w:rFonts w:ascii="Calibri" w:hAnsi="Calibri" w:cs="Arial"/>
                <w:szCs w:val="24"/>
                <w:lang w:val="es-AR"/>
              </w:rPr>
              <w:t xml:space="preserve">El semen fue recolectado, manipulado, procesado y almacenado de acuerdo con las condiciones estipuladas en el Código Sanitario para Animales Terrestres de la OIE. El semen diluido y tratado se mantuvo separado de todo otro semen que no cumpliese con las Normas de la OIE, y se lo ha congelado en nitrógeno líquido durante el período de 30 días posterior a la recolección. Las pajuelas o ampollas se han identificado por medio de un código, de acuerdo con las regulaciones del país exportador, que suministra información sobre la fecha de recolección, raza, identificación del donante y centro de inseminación de origen. </w:t>
            </w:r>
          </w:p>
          <w:p w14:paraId="318FC746" w14:textId="77777777" w:rsidR="00220D8E" w:rsidRPr="00F6064B" w:rsidRDefault="00220D8E" w:rsidP="00220D8E">
            <w:pPr>
              <w:spacing w:after="120" w:line="360" w:lineRule="auto"/>
              <w:ind w:left="360"/>
              <w:jc w:val="both"/>
              <w:rPr>
                <w:rFonts w:ascii="Calibri" w:hAnsi="Calibri" w:cs="Arial"/>
                <w:i/>
                <w:szCs w:val="24"/>
              </w:rPr>
            </w:pPr>
            <w:r w:rsidRPr="00F6064B">
              <w:rPr>
                <w:rFonts w:ascii="Calibri" w:hAnsi="Calibri" w:cs="Arial"/>
                <w:i/>
                <w:szCs w:val="24"/>
              </w:rPr>
              <w:t xml:space="preserve">The semen was collected, manipulated, </w:t>
            </w:r>
            <w:proofErr w:type="gramStart"/>
            <w:r w:rsidRPr="00F6064B">
              <w:rPr>
                <w:rFonts w:ascii="Calibri" w:hAnsi="Calibri" w:cs="Arial"/>
                <w:i/>
                <w:szCs w:val="24"/>
              </w:rPr>
              <w:t>processed</w:t>
            </w:r>
            <w:proofErr w:type="gramEnd"/>
            <w:r w:rsidRPr="00F6064B">
              <w:rPr>
                <w:rFonts w:ascii="Calibri" w:hAnsi="Calibri" w:cs="Arial"/>
                <w:i/>
                <w:szCs w:val="24"/>
              </w:rPr>
              <w:t xml:space="preserve"> and stored in compliance with the provisions of the OIE Sanitary Code for Terrestrial Animals. The diluted and treated semen has been kept separate from </w:t>
            </w:r>
            <w:r w:rsidRPr="00F6064B">
              <w:rPr>
                <w:rFonts w:ascii="Calibri" w:hAnsi="Calibri" w:cs="Arial"/>
                <w:i/>
                <w:szCs w:val="24"/>
              </w:rPr>
              <w:lastRenderedPageBreak/>
              <w:t xml:space="preserve">any other semen not complying with the OIE </w:t>
            </w:r>
            <w:proofErr w:type="gramStart"/>
            <w:r w:rsidRPr="00F6064B">
              <w:rPr>
                <w:rFonts w:ascii="Calibri" w:hAnsi="Calibri" w:cs="Arial"/>
                <w:i/>
                <w:szCs w:val="24"/>
              </w:rPr>
              <w:t>Standards, and</w:t>
            </w:r>
            <w:proofErr w:type="gramEnd"/>
            <w:r w:rsidRPr="00F6064B">
              <w:rPr>
                <w:rFonts w:ascii="Calibri" w:hAnsi="Calibri" w:cs="Arial"/>
                <w:i/>
                <w:szCs w:val="24"/>
              </w:rPr>
              <w:t xml:space="preserve"> has been frozen in liquid nitrogen during the period of 30 days following collection. The straws or ampoules have been identified by a code, in agreement with the regulations of the exporting country, which provides information about collection date, breed, donor identification and insemination centre of origin.</w:t>
            </w:r>
          </w:p>
          <w:p w14:paraId="73DC99B9" w14:textId="77777777" w:rsidR="00220D8E" w:rsidRPr="00275F00" w:rsidRDefault="00220D8E" w:rsidP="00220D8E">
            <w:pPr>
              <w:numPr>
                <w:ilvl w:val="0"/>
                <w:numId w:val="18"/>
              </w:numPr>
              <w:spacing w:line="360" w:lineRule="auto"/>
              <w:jc w:val="both"/>
              <w:rPr>
                <w:rFonts w:ascii="Calibri" w:hAnsi="Calibri" w:cs="Arial"/>
                <w:strike/>
                <w:szCs w:val="24"/>
              </w:rPr>
            </w:pPr>
            <w:r w:rsidRPr="00823351">
              <w:rPr>
                <w:rFonts w:ascii="Calibri" w:hAnsi="Calibri" w:cs="Arial"/>
                <w:szCs w:val="24"/>
                <w:lang w:val="es-AR"/>
              </w:rPr>
              <w:t xml:space="preserve">Para el transporte de semen, </w:t>
            </w:r>
            <w:proofErr w:type="gramStart"/>
            <w:r w:rsidRPr="00823351">
              <w:rPr>
                <w:rFonts w:ascii="Calibri" w:hAnsi="Calibri" w:cs="Arial"/>
                <w:szCs w:val="24"/>
                <w:lang w:val="es-AR"/>
              </w:rPr>
              <w:t>el  o</w:t>
            </w:r>
            <w:proofErr w:type="gramEnd"/>
            <w:r w:rsidRPr="00823351">
              <w:rPr>
                <w:rFonts w:ascii="Calibri" w:hAnsi="Calibri" w:cs="Arial"/>
                <w:szCs w:val="24"/>
                <w:lang w:val="es-AR"/>
              </w:rPr>
              <w:t xml:space="preserve"> los termos deben ser o bien nuevos y desinfectados con solución de formalina al 10%, o usados y desinfectados con cloro al 2%,</w:t>
            </w:r>
            <w:r w:rsidRPr="00275F00">
              <w:rPr>
                <w:rFonts w:ascii="Calibri" w:hAnsi="Calibri" w:cs="Arial"/>
                <w:strike/>
                <w:szCs w:val="24"/>
                <w:lang w:val="es-AR"/>
              </w:rPr>
              <w:t xml:space="preserve"> y precintados por el Servicio Veterinario Oficial antes de autorizar el transporte al punto de embarque. </w:t>
            </w:r>
          </w:p>
          <w:p w14:paraId="7102517B" w14:textId="77777777" w:rsidR="00220D8E" w:rsidRPr="00275F00" w:rsidRDefault="00220D8E" w:rsidP="00220D8E">
            <w:pPr>
              <w:spacing w:line="360" w:lineRule="auto"/>
              <w:ind w:left="360"/>
              <w:jc w:val="both"/>
              <w:rPr>
                <w:rFonts w:ascii="Calibri" w:hAnsi="Calibri" w:cs="Arial"/>
                <w:strike/>
                <w:szCs w:val="24"/>
              </w:rPr>
            </w:pPr>
            <w:r w:rsidRPr="00823351">
              <w:rPr>
                <w:rFonts w:ascii="Calibri" w:hAnsi="Calibri" w:cs="Arial"/>
                <w:szCs w:val="24"/>
              </w:rPr>
              <w:t>For semen transport the thermo(s) must either be new and disinfected with a 10% formalin solution, or used and disinfected with 2% chlorine,</w:t>
            </w:r>
            <w:r w:rsidRPr="00275F00">
              <w:rPr>
                <w:rFonts w:ascii="Calibri" w:hAnsi="Calibri" w:cs="Arial"/>
                <w:strike/>
                <w:szCs w:val="24"/>
              </w:rPr>
              <w:t xml:space="preserve"> and sealed by the Official Veterinary Service before authorising its transport to the point of shipment.</w:t>
            </w:r>
          </w:p>
          <w:p w14:paraId="708DE508" w14:textId="00FCBE85" w:rsidR="003E7341" w:rsidRDefault="00220D8E" w:rsidP="00220D8E">
            <w:pPr>
              <w:spacing w:before="120" w:after="240"/>
              <w:ind w:left="360"/>
              <w:rPr>
                <w:rFonts w:ascii="Cambria" w:hAnsi="Cambria"/>
                <w:b/>
                <w:sz w:val="22"/>
                <w:szCs w:val="22"/>
                <w:lang w:val="en-US" w:eastAsia="fr-FR"/>
              </w:rPr>
            </w:pPr>
            <w:r w:rsidRPr="00275F00">
              <w:rPr>
                <w:b/>
                <w:strike/>
                <w:sz w:val="20"/>
              </w:rPr>
              <w:t xml:space="preserve">SEAL NO: </w:t>
            </w:r>
            <w:proofErr w:type="spellStart"/>
            <w:r>
              <w:rPr>
                <w:b/>
                <w:strike/>
                <w:sz w:val="20"/>
              </w:rPr>
              <w:t>xxxxx</w:t>
            </w:r>
            <w:proofErr w:type="spellEnd"/>
          </w:p>
          <w:p w14:paraId="7FC0C8D0" w14:textId="602B68BB" w:rsidR="00D93E2D" w:rsidRPr="00D93E2D" w:rsidRDefault="00F213B1" w:rsidP="00D93E2D">
            <w:pPr>
              <w:spacing w:after="160" w:line="276" w:lineRule="auto"/>
              <w:rPr>
                <w:rFonts w:ascii="Calibri" w:eastAsia="DengXian" w:hAnsi="Calibri"/>
                <w:sz w:val="22"/>
                <w:szCs w:val="22"/>
                <w:lang w:eastAsia="zh-CN"/>
              </w:rPr>
            </w:pPr>
            <w:r>
              <w:rPr>
                <w:rFonts w:ascii="Cambria" w:hAnsi="Cambria"/>
                <w:b/>
                <w:sz w:val="22"/>
                <w:szCs w:val="22"/>
                <w:lang w:val="en-US" w:eastAsia="fr-FR"/>
              </w:rPr>
              <w:t xml:space="preserve"> </w:t>
            </w: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66787952" w14:textId="77777777" w:rsidR="006B3FD8" w:rsidRPr="00791EC3" w:rsidRDefault="006B3FD8" w:rsidP="006B3FD8">
      <w:pPr>
        <w:pStyle w:val="Header"/>
        <w:tabs>
          <w:tab w:val="clear" w:pos="4153"/>
          <w:tab w:val="clear" w:pos="8306"/>
        </w:tabs>
        <w:jc w:val="center"/>
        <w:rPr>
          <w:b/>
        </w:rPr>
      </w:pPr>
      <w:r w:rsidRPr="00791EC3">
        <w:rPr>
          <w:b/>
        </w:rPr>
        <w:lastRenderedPageBreak/>
        <w:t>ATTACHMENT FOR TH</w:t>
      </w:r>
      <w:r>
        <w:rPr>
          <w:b/>
        </w:rPr>
        <w:t>E EXPORT OF BOVINE SEMEN TO COLO</w:t>
      </w:r>
      <w:r w:rsidRPr="00791EC3">
        <w:rPr>
          <w:b/>
        </w:rPr>
        <w:t>MBIA</w:t>
      </w:r>
    </w:p>
    <w:p w14:paraId="36D320A5" w14:textId="77777777" w:rsidR="006B3FD8" w:rsidRDefault="006B3FD8" w:rsidP="006B3FD8">
      <w:pPr>
        <w:pStyle w:val="Header"/>
        <w:tabs>
          <w:tab w:val="clear" w:pos="4153"/>
          <w:tab w:val="clear" w:pos="8306"/>
          <w:tab w:val="left" w:pos="4320"/>
        </w:tabs>
        <w:jc w:val="center"/>
      </w:pPr>
      <w:r w:rsidRPr="00791EC3">
        <w:rPr>
          <w:b/>
          <w:sz w:val="20"/>
        </w:rPr>
        <w:t>IMPORT PERMIT NO:</w:t>
      </w:r>
      <w:r w:rsidRPr="00791EC3">
        <w:rPr>
          <w:sz w:val="20"/>
        </w:rPr>
        <w:t xml:space="preserve"> </w:t>
      </w:r>
      <w:r>
        <w:rPr>
          <w:b/>
          <w:sz w:val="20"/>
        </w:rPr>
        <w:t xml:space="preserve"> </w:t>
      </w:r>
    </w:p>
    <w:p w14:paraId="4700ADBE" w14:textId="77777777" w:rsidR="00614917" w:rsidRPr="00AC5366" w:rsidRDefault="00614917" w:rsidP="00614917">
      <w:pPr>
        <w:jc w:val="center"/>
        <w:rPr>
          <w:b/>
          <w:sz w:val="22"/>
          <w:szCs w:val="22"/>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118"/>
        <w:gridCol w:w="1560"/>
        <w:gridCol w:w="1134"/>
        <w:gridCol w:w="1134"/>
        <w:gridCol w:w="992"/>
        <w:gridCol w:w="1242"/>
      </w:tblGrid>
      <w:tr w:rsidR="006B3FD8" w:rsidRPr="00837277" w14:paraId="6707EEF3" w14:textId="77777777" w:rsidTr="00A25EB6">
        <w:tc>
          <w:tcPr>
            <w:tcW w:w="1526" w:type="dxa"/>
          </w:tcPr>
          <w:p w14:paraId="2513C09C" w14:textId="77777777" w:rsidR="006B3FD8" w:rsidRPr="00837277" w:rsidRDefault="006B3FD8" w:rsidP="00A25EB6">
            <w:pPr>
              <w:jc w:val="center"/>
              <w:rPr>
                <w:b/>
                <w:sz w:val="20"/>
              </w:rPr>
            </w:pPr>
            <w:r w:rsidRPr="00837277">
              <w:rPr>
                <w:b/>
                <w:sz w:val="20"/>
              </w:rPr>
              <w:t>Bull Code</w:t>
            </w:r>
          </w:p>
        </w:tc>
        <w:tc>
          <w:tcPr>
            <w:tcW w:w="3118" w:type="dxa"/>
          </w:tcPr>
          <w:p w14:paraId="01D0E409" w14:textId="77777777" w:rsidR="006B3FD8" w:rsidRPr="00837277" w:rsidRDefault="006B3FD8" w:rsidP="00A25EB6">
            <w:pPr>
              <w:jc w:val="center"/>
              <w:rPr>
                <w:b/>
                <w:sz w:val="20"/>
              </w:rPr>
            </w:pPr>
            <w:r w:rsidRPr="00837277">
              <w:rPr>
                <w:b/>
                <w:sz w:val="20"/>
              </w:rPr>
              <w:t>Bull Name</w:t>
            </w:r>
          </w:p>
        </w:tc>
        <w:tc>
          <w:tcPr>
            <w:tcW w:w="1560" w:type="dxa"/>
          </w:tcPr>
          <w:p w14:paraId="45C8EC0F" w14:textId="77777777" w:rsidR="006B3FD8" w:rsidRPr="00837277" w:rsidRDefault="006B3FD8" w:rsidP="00A25EB6">
            <w:pPr>
              <w:jc w:val="center"/>
              <w:rPr>
                <w:b/>
                <w:sz w:val="20"/>
              </w:rPr>
            </w:pPr>
            <w:r w:rsidRPr="00837277">
              <w:rPr>
                <w:b/>
                <w:sz w:val="20"/>
              </w:rPr>
              <w:t>Breed</w:t>
            </w:r>
          </w:p>
        </w:tc>
        <w:tc>
          <w:tcPr>
            <w:tcW w:w="1134" w:type="dxa"/>
          </w:tcPr>
          <w:p w14:paraId="4814DD88" w14:textId="77777777" w:rsidR="006B3FD8" w:rsidRPr="00837277" w:rsidRDefault="006B3FD8" w:rsidP="00A25EB6">
            <w:pPr>
              <w:jc w:val="center"/>
              <w:rPr>
                <w:b/>
                <w:sz w:val="20"/>
              </w:rPr>
            </w:pPr>
            <w:r w:rsidRPr="00837277">
              <w:rPr>
                <w:b/>
                <w:sz w:val="20"/>
              </w:rPr>
              <w:t>Book #</w:t>
            </w:r>
          </w:p>
        </w:tc>
        <w:tc>
          <w:tcPr>
            <w:tcW w:w="1134" w:type="dxa"/>
          </w:tcPr>
          <w:p w14:paraId="63839254" w14:textId="77777777" w:rsidR="006B3FD8" w:rsidRPr="00837277" w:rsidRDefault="006B3FD8" w:rsidP="00A25EB6">
            <w:pPr>
              <w:jc w:val="center"/>
              <w:rPr>
                <w:b/>
                <w:sz w:val="20"/>
              </w:rPr>
            </w:pPr>
            <w:r w:rsidRPr="00837277">
              <w:rPr>
                <w:b/>
                <w:sz w:val="20"/>
              </w:rPr>
              <w:t>Code</w:t>
            </w:r>
          </w:p>
        </w:tc>
        <w:tc>
          <w:tcPr>
            <w:tcW w:w="992" w:type="dxa"/>
          </w:tcPr>
          <w:p w14:paraId="49919E3F" w14:textId="77777777" w:rsidR="006B3FD8" w:rsidRPr="00837277" w:rsidRDefault="006B3FD8" w:rsidP="00A25EB6">
            <w:pPr>
              <w:jc w:val="center"/>
              <w:rPr>
                <w:b/>
                <w:sz w:val="20"/>
              </w:rPr>
            </w:pPr>
            <w:r w:rsidRPr="00837277">
              <w:rPr>
                <w:b/>
                <w:sz w:val="20"/>
              </w:rPr>
              <w:t>Quantity</w:t>
            </w:r>
          </w:p>
        </w:tc>
        <w:tc>
          <w:tcPr>
            <w:tcW w:w="1242" w:type="dxa"/>
          </w:tcPr>
          <w:p w14:paraId="7270A8C8" w14:textId="77777777" w:rsidR="006B3FD8" w:rsidRPr="00837277" w:rsidRDefault="006B3FD8" w:rsidP="00A25EB6">
            <w:pPr>
              <w:jc w:val="center"/>
              <w:rPr>
                <w:b/>
                <w:sz w:val="20"/>
              </w:rPr>
            </w:pPr>
            <w:r w:rsidRPr="00837277">
              <w:rPr>
                <w:b/>
                <w:sz w:val="20"/>
              </w:rPr>
              <w:t>Country of Birth</w:t>
            </w:r>
          </w:p>
        </w:tc>
      </w:tr>
      <w:tr w:rsidR="006B3FD8" w14:paraId="1AD7AEDE" w14:textId="77777777" w:rsidTr="00A25EB6">
        <w:tc>
          <w:tcPr>
            <w:tcW w:w="1526" w:type="dxa"/>
          </w:tcPr>
          <w:p w14:paraId="3666C881" w14:textId="77777777" w:rsidR="006B3FD8" w:rsidRPr="00837277" w:rsidRDefault="006B3FD8" w:rsidP="00A25EB6">
            <w:pPr>
              <w:rPr>
                <w:b/>
                <w:sz w:val="18"/>
                <w:szCs w:val="18"/>
              </w:rPr>
            </w:pPr>
          </w:p>
        </w:tc>
        <w:tc>
          <w:tcPr>
            <w:tcW w:w="3118" w:type="dxa"/>
          </w:tcPr>
          <w:p w14:paraId="2026C9BE" w14:textId="77777777" w:rsidR="006B3FD8" w:rsidRPr="00837277" w:rsidRDefault="006B3FD8" w:rsidP="00A25EB6">
            <w:pPr>
              <w:rPr>
                <w:sz w:val="20"/>
              </w:rPr>
            </w:pPr>
          </w:p>
        </w:tc>
        <w:tc>
          <w:tcPr>
            <w:tcW w:w="1560" w:type="dxa"/>
          </w:tcPr>
          <w:p w14:paraId="0B163F70" w14:textId="77777777" w:rsidR="006B3FD8" w:rsidRPr="00837277" w:rsidRDefault="006B3FD8" w:rsidP="00A25EB6">
            <w:pPr>
              <w:rPr>
                <w:sz w:val="20"/>
              </w:rPr>
            </w:pPr>
          </w:p>
        </w:tc>
        <w:tc>
          <w:tcPr>
            <w:tcW w:w="1134" w:type="dxa"/>
          </w:tcPr>
          <w:p w14:paraId="6F8C751D" w14:textId="77777777" w:rsidR="006B3FD8" w:rsidRPr="00837277" w:rsidRDefault="006B3FD8" w:rsidP="00A25EB6">
            <w:pPr>
              <w:rPr>
                <w:sz w:val="20"/>
              </w:rPr>
            </w:pPr>
          </w:p>
        </w:tc>
        <w:tc>
          <w:tcPr>
            <w:tcW w:w="1134" w:type="dxa"/>
          </w:tcPr>
          <w:p w14:paraId="7A75DA09" w14:textId="77777777" w:rsidR="006B3FD8" w:rsidRPr="00837277" w:rsidRDefault="006B3FD8" w:rsidP="00A25EB6">
            <w:pPr>
              <w:rPr>
                <w:sz w:val="20"/>
              </w:rPr>
            </w:pPr>
          </w:p>
        </w:tc>
        <w:tc>
          <w:tcPr>
            <w:tcW w:w="992" w:type="dxa"/>
          </w:tcPr>
          <w:p w14:paraId="163A78E4" w14:textId="77777777" w:rsidR="006B3FD8" w:rsidRPr="00837277" w:rsidRDefault="006B3FD8" w:rsidP="00A25EB6">
            <w:pPr>
              <w:rPr>
                <w:sz w:val="20"/>
              </w:rPr>
            </w:pPr>
          </w:p>
        </w:tc>
        <w:tc>
          <w:tcPr>
            <w:tcW w:w="1242" w:type="dxa"/>
          </w:tcPr>
          <w:p w14:paraId="5C3C92C6" w14:textId="77777777" w:rsidR="006B3FD8" w:rsidRPr="00837277" w:rsidRDefault="006B3FD8" w:rsidP="00A25EB6">
            <w:pPr>
              <w:rPr>
                <w:sz w:val="16"/>
                <w:szCs w:val="16"/>
              </w:rPr>
            </w:pPr>
          </w:p>
        </w:tc>
      </w:tr>
      <w:tr w:rsidR="006B3FD8" w14:paraId="0CA0C4CA" w14:textId="77777777" w:rsidTr="00A25EB6">
        <w:tc>
          <w:tcPr>
            <w:tcW w:w="1526" w:type="dxa"/>
          </w:tcPr>
          <w:p w14:paraId="5F5C3491" w14:textId="77777777" w:rsidR="006B3FD8" w:rsidRPr="00837277" w:rsidRDefault="006B3FD8" w:rsidP="00A25EB6">
            <w:pPr>
              <w:rPr>
                <w:b/>
                <w:sz w:val="18"/>
                <w:szCs w:val="18"/>
              </w:rPr>
            </w:pPr>
          </w:p>
        </w:tc>
        <w:tc>
          <w:tcPr>
            <w:tcW w:w="3118" w:type="dxa"/>
          </w:tcPr>
          <w:p w14:paraId="6F59882C" w14:textId="77777777" w:rsidR="006B3FD8" w:rsidRPr="00837277" w:rsidRDefault="006B3FD8" w:rsidP="00A25EB6">
            <w:pPr>
              <w:rPr>
                <w:sz w:val="20"/>
              </w:rPr>
            </w:pPr>
          </w:p>
        </w:tc>
        <w:tc>
          <w:tcPr>
            <w:tcW w:w="1560" w:type="dxa"/>
          </w:tcPr>
          <w:p w14:paraId="58C9F698" w14:textId="77777777" w:rsidR="006B3FD8" w:rsidRPr="00837277" w:rsidRDefault="006B3FD8" w:rsidP="00A25EB6">
            <w:pPr>
              <w:rPr>
                <w:sz w:val="20"/>
              </w:rPr>
            </w:pPr>
          </w:p>
        </w:tc>
        <w:tc>
          <w:tcPr>
            <w:tcW w:w="1134" w:type="dxa"/>
          </w:tcPr>
          <w:p w14:paraId="570613BD" w14:textId="77777777" w:rsidR="006B3FD8" w:rsidRPr="00837277" w:rsidRDefault="006B3FD8" w:rsidP="00A25EB6">
            <w:pPr>
              <w:rPr>
                <w:sz w:val="20"/>
              </w:rPr>
            </w:pPr>
          </w:p>
        </w:tc>
        <w:tc>
          <w:tcPr>
            <w:tcW w:w="1134" w:type="dxa"/>
          </w:tcPr>
          <w:p w14:paraId="1F30106E" w14:textId="77777777" w:rsidR="006B3FD8" w:rsidRPr="00837277" w:rsidRDefault="006B3FD8" w:rsidP="00A25EB6">
            <w:pPr>
              <w:rPr>
                <w:sz w:val="20"/>
              </w:rPr>
            </w:pPr>
          </w:p>
        </w:tc>
        <w:tc>
          <w:tcPr>
            <w:tcW w:w="992" w:type="dxa"/>
          </w:tcPr>
          <w:p w14:paraId="11F30C7A" w14:textId="77777777" w:rsidR="006B3FD8" w:rsidRPr="00837277" w:rsidRDefault="006B3FD8" w:rsidP="00A25EB6">
            <w:pPr>
              <w:rPr>
                <w:sz w:val="20"/>
              </w:rPr>
            </w:pPr>
          </w:p>
        </w:tc>
        <w:tc>
          <w:tcPr>
            <w:tcW w:w="1242" w:type="dxa"/>
          </w:tcPr>
          <w:p w14:paraId="343266DC" w14:textId="77777777" w:rsidR="006B3FD8" w:rsidRDefault="006B3FD8" w:rsidP="00A25EB6"/>
        </w:tc>
      </w:tr>
      <w:tr w:rsidR="006B3FD8" w14:paraId="1DBB927F" w14:textId="77777777" w:rsidTr="00A25EB6">
        <w:tc>
          <w:tcPr>
            <w:tcW w:w="1526" w:type="dxa"/>
          </w:tcPr>
          <w:p w14:paraId="0EAA3C13" w14:textId="77777777" w:rsidR="006B3FD8" w:rsidRPr="00837277" w:rsidRDefault="006B3FD8" w:rsidP="00A25EB6">
            <w:pPr>
              <w:rPr>
                <w:b/>
                <w:sz w:val="18"/>
                <w:szCs w:val="18"/>
              </w:rPr>
            </w:pPr>
          </w:p>
        </w:tc>
        <w:tc>
          <w:tcPr>
            <w:tcW w:w="3118" w:type="dxa"/>
          </w:tcPr>
          <w:p w14:paraId="33CF4B57" w14:textId="77777777" w:rsidR="006B3FD8" w:rsidRPr="00837277" w:rsidRDefault="006B3FD8" w:rsidP="00A25EB6">
            <w:pPr>
              <w:rPr>
                <w:sz w:val="20"/>
              </w:rPr>
            </w:pPr>
          </w:p>
        </w:tc>
        <w:tc>
          <w:tcPr>
            <w:tcW w:w="1560" w:type="dxa"/>
          </w:tcPr>
          <w:p w14:paraId="328A296A" w14:textId="77777777" w:rsidR="006B3FD8" w:rsidRPr="00837277" w:rsidRDefault="006B3FD8" w:rsidP="00A25EB6">
            <w:pPr>
              <w:rPr>
                <w:sz w:val="20"/>
              </w:rPr>
            </w:pPr>
          </w:p>
        </w:tc>
        <w:tc>
          <w:tcPr>
            <w:tcW w:w="1134" w:type="dxa"/>
          </w:tcPr>
          <w:p w14:paraId="7963950E" w14:textId="77777777" w:rsidR="006B3FD8" w:rsidRPr="00837277" w:rsidRDefault="006B3FD8" w:rsidP="00A25EB6">
            <w:pPr>
              <w:rPr>
                <w:sz w:val="20"/>
              </w:rPr>
            </w:pPr>
          </w:p>
        </w:tc>
        <w:tc>
          <w:tcPr>
            <w:tcW w:w="1134" w:type="dxa"/>
          </w:tcPr>
          <w:p w14:paraId="7C5A3A36" w14:textId="77777777" w:rsidR="006B3FD8" w:rsidRPr="00837277" w:rsidRDefault="006B3FD8" w:rsidP="00A25EB6">
            <w:pPr>
              <w:rPr>
                <w:sz w:val="20"/>
              </w:rPr>
            </w:pPr>
          </w:p>
        </w:tc>
        <w:tc>
          <w:tcPr>
            <w:tcW w:w="992" w:type="dxa"/>
          </w:tcPr>
          <w:p w14:paraId="2C781AD6" w14:textId="77777777" w:rsidR="006B3FD8" w:rsidRPr="00837277" w:rsidRDefault="006B3FD8" w:rsidP="00A25EB6">
            <w:pPr>
              <w:rPr>
                <w:sz w:val="20"/>
              </w:rPr>
            </w:pPr>
          </w:p>
        </w:tc>
        <w:tc>
          <w:tcPr>
            <w:tcW w:w="1242" w:type="dxa"/>
          </w:tcPr>
          <w:p w14:paraId="16AA48E7" w14:textId="77777777" w:rsidR="006B3FD8" w:rsidRDefault="006B3FD8" w:rsidP="00A25EB6"/>
        </w:tc>
      </w:tr>
      <w:tr w:rsidR="006B3FD8" w14:paraId="29FFF29B" w14:textId="77777777" w:rsidTr="00A25EB6">
        <w:tc>
          <w:tcPr>
            <w:tcW w:w="1526" w:type="dxa"/>
          </w:tcPr>
          <w:p w14:paraId="3FEFDE0A" w14:textId="77777777" w:rsidR="006B3FD8" w:rsidRPr="00837277" w:rsidRDefault="006B3FD8" w:rsidP="00A25EB6">
            <w:pPr>
              <w:rPr>
                <w:b/>
                <w:sz w:val="18"/>
                <w:szCs w:val="18"/>
              </w:rPr>
            </w:pPr>
          </w:p>
        </w:tc>
        <w:tc>
          <w:tcPr>
            <w:tcW w:w="3118" w:type="dxa"/>
          </w:tcPr>
          <w:p w14:paraId="7025FF8B" w14:textId="77777777" w:rsidR="006B3FD8" w:rsidRPr="00837277" w:rsidRDefault="006B3FD8" w:rsidP="00A25EB6">
            <w:pPr>
              <w:rPr>
                <w:sz w:val="20"/>
              </w:rPr>
            </w:pPr>
          </w:p>
        </w:tc>
        <w:tc>
          <w:tcPr>
            <w:tcW w:w="1560" w:type="dxa"/>
          </w:tcPr>
          <w:p w14:paraId="7CC9767F" w14:textId="77777777" w:rsidR="006B3FD8" w:rsidRPr="00837277" w:rsidRDefault="006B3FD8" w:rsidP="00A25EB6">
            <w:pPr>
              <w:rPr>
                <w:sz w:val="20"/>
              </w:rPr>
            </w:pPr>
          </w:p>
        </w:tc>
        <w:tc>
          <w:tcPr>
            <w:tcW w:w="1134" w:type="dxa"/>
          </w:tcPr>
          <w:p w14:paraId="57D3E1D8" w14:textId="77777777" w:rsidR="006B3FD8" w:rsidRPr="00837277" w:rsidRDefault="006B3FD8" w:rsidP="00A25EB6">
            <w:pPr>
              <w:rPr>
                <w:sz w:val="20"/>
              </w:rPr>
            </w:pPr>
          </w:p>
        </w:tc>
        <w:tc>
          <w:tcPr>
            <w:tcW w:w="1134" w:type="dxa"/>
          </w:tcPr>
          <w:p w14:paraId="768BF11C" w14:textId="77777777" w:rsidR="006B3FD8" w:rsidRPr="00837277" w:rsidRDefault="006B3FD8" w:rsidP="00A25EB6">
            <w:pPr>
              <w:rPr>
                <w:sz w:val="20"/>
              </w:rPr>
            </w:pPr>
          </w:p>
        </w:tc>
        <w:tc>
          <w:tcPr>
            <w:tcW w:w="992" w:type="dxa"/>
          </w:tcPr>
          <w:p w14:paraId="71ADB09C" w14:textId="77777777" w:rsidR="006B3FD8" w:rsidRPr="00837277" w:rsidRDefault="006B3FD8" w:rsidP="00A25EB6">
            <w:pPr>
              <w:rPr>
                <w:sz w:val="20"/>
              </w:rPr>
            </w:pPr>
          </w:p>
        </w:tc>
        <w:tc>
          <w:tcPr>
            <w:tcW w:w="1242" w:type="dxa"/>
          </w:tcPr>
          <w:p w14:paraId="2F5D512D" w14:textId="77777777" w:rsidR="006B3FD8" w:rsidRDefault="006B3FD8" w:rsidP="00A25EB6"/>
        </w:tc>
      </w:tr>
      <w:tr w:rsidR="006B3FD8" w14:paraId="48353319" w14:textId="77777777" w:rsidTr="00A25EB6">
        <w:tc>
          <w:tcPr>
            <w:tcW w:w="1526" w:type="dxa"/>
          </w:tcPr>
          <w:p w14:paraId="5B0AF42E" w14:textId="77777777" w:rsidR="006B3FD8" w:rsidRPr="00837277" w:rsidRDefault="006B3FD8" w:rsidP="00A25EB6">
            <w:pPr>
              <w:rPr>
                <w:b/>
                <w:sz w:val="18"/>
                <w:szCs w:val="18"/>
              </w:rPr>
            </w:pPr>
          </w:p>
        </w:tc>
        <w:tc>
          <w:tcPr>
            <w:tcW w:w="3118" w:type="dxa"/>
          </w:tcPr>
          <w:p w14:paraId="4E467AAD" w14:textId="77777777" w:rsidR="006B3FD8" w:rsidRPr="00837277" w:rsidRDefault="006B3FD8" w:rsidP="00A25EB6">
            <w:pPr>
              <w:rPr>
                <w:sz w:val="20"/>
              </w:rPr>
            </w:pPr>
          </w:p>
        </w:tc>
        <w:tc>
          <w:tcPr>
            <w:tcW w:w="1560" w:type="dxa"/>
          </w:tcPr>
          <w:p w14:paraId="00DD2341" w14:textId="77777777" w:rsidR="006B3FD8" w:rsidRPr="00837277" w:rsidRDefault="006B3FD8" w:rsidP="00A25EB6">
            <w:pPr>
              <w:rPr>
                <w:sz w:val="20"/>
              </w:rPr>
            </w:pPr>
          </w:p>
        </w:tc>
        <w:tc>
          <w:tcPr>
            <w:tcW w:w="1134" w:type="dxa"/>
          </w:tcPr>
          <w:p w14:paraId="3E9E3760" w14:textId="77777777" w:rsidR="006B3FD8" w:rsidRPr="00837277" w:rsidRDefault="006B3FD8" w:rsidP="00A25EB6">
            <w:pPr>
              <w:rPr>
                <w:sz w:val="20"/>
              </w:rPr>
            </w:pPr>
          </w:p>
        </w:tc>
        <w:tc>
          <w:tcPr>
            <w:tcW w:w="1134" w:type="dxa"/>
          </w:tcPr>
          <w:p w14:paraId="56BF31A5" w14:textId="77777777" w:rsidR="006B3FD8" w:rsidRPr="00837277" w:rsidRDefault="006B3FD8" w:rsidP="00A25EB6">
            <w:pPr>
              <w:rPr>
                <w:sz w:val="20"/>
              </w:rPr>
            </w:pPr>
          </w:p>
        </w:tc>
        <w:tc>
          <w:tcPr>
            <w:tcW w:w="992" w:type="dxa"/>
          </w:tcPr>
          <w:p w14:paraId="7FE06F17" w14:textId="77777777" w:rsidR="006B3FD8" w:rsidRPr="00837277" w:rsidRDefault="006B3FD8" w:rsidP="00A25EB6">
            <w:pPr>
              <w:rPr>
                <w:sz w:val="20"/>
              </w:rPr>
            </w:pPr>
          </w:p>
        </w:tc>
        <w:tc>
          <w:tcPr>
            <w:tcW w:w="1242" w:type="dxa"/>
          </w:tcPr>
          <w:p w14:paraId="6012B1A0" w14:textId="77777777" w:rsidR="006B3FD8" w:rsidRDefault="006B3FD8" w:rsidP="00A25EB6"/>
        </w:tc>
      </w:tr>
      <w:tr w:rsidR="006B3FD8" w14:paraId="11F522D8" w14:textId="77777777" w:rsidTr="00A25EB6">
        <w:tc>
          <w:tcPr>
            <w:tcW w:w="1526" w:type="dxa"/>
          </w:tcPr>
          <w:p w14:paraId="3BF6161B" w14:textId="77777777" w:rsidR="006B3FD8" w:rsidRPr="00837277" w:rsidRDefault="006B3FD8" w:rsidP="00A25EB6">
            <w:pPr>
              <w:rPr>
                <w:b/>
                <w:sz w:val="18"/>
                <w:szCs w:val="18"/>
              </w:rPr>
            </w:pPr>
          </w:p>
        </w:tc>
        <w:tc>
          <w:tcPr>
            <w:tcW w:w="3118" w:type="dxa"/>
          </w:tcPr>
          <w:p w14:paraId="6ABAE358" w14:textId="77777777" w:rsidR="006B3FD8" w:rsidRPr="00837277" w:rsidRDefault="006B3FD8" w:rsidP="00A25EB6">
            <w:pPr>
              <w:rPr>
                <w:sz w:val="20"/>
              </w:rPr>
            </w:pPr>
          </w:p>
        </w:tc>
        <w:tc>
          <w:tcPr>
            <w:tcW w:w="1560" w:type="dxa"/>
          </w:tcPr>
          <w:p w14:paraId="1EB0A97F" w14:textId="77777777" w:rsidR="006B3FD8" w:rsidRPr="00837277" w:rsidRDefault="006B3FD8" w:rsidP="00A25EB6">
            <w:pPr>
              <w:rPr>
                <w:sz w:val="20"/>
              </w:rPr>
            </w:pPr>
          </w:p>
        </w:tc>
        <w:tc>
          <w:tcPr>
            <w:tcW w:w="1134" w:type="dxa"/>
          </w:tcPr>
          <w:p w14:paraId="7A6330A5" w14:textId="77777777" w:rsidR="006B3FD8" w:rsidRPr="00837277" w:rsidRDefault="006B3FD8" w:rsidP="00A25EB6">
            <w:pPr>
              <w:rPr>
                <w:sz w:val="20"/>
              </w:rPr>
            </w:pPr>
          </w:p>
        </w:tc>
        <w:tc>
          <w:tcPr>
            <w:tcW w:w="1134" w:type="dxa"/>
          </w:tcPr>
          <w:p w14:paraId="4A4E1D08" w14:textId="77777777" w:rsidR="006B3FD8" w:rsidRPr="00837277" w:rsidRDefault="006B3FD8" w:rsidP="00A25EB6">
            <w:pPr>
              <w:rPr>
                <w:sz w:val="20"/>
              </w:rPr>
            </w:pPr>
          </w:p>
        </w:tc>
        <w:tc>
          <w:tcPr>
            <w:tcW w:w="992" w:type="dxa"/>
          </w:tcPr>
          <w:p w14:paraId="31BC95BF" w14:textId="77777777" w:rsidR="006B3FD8" w:rsidRPr="00837277" w:rsidRDefault="006B3FD8" w:rsidP="00A25EB6">
            <w:pPr>
              <w:rPr>
                <w:sz w:val="20"/>
              </w:rPr>
            </w:pPr>
          </w:p>
        </w:tc>
        <w:tc>
          <w:tcPr>
            <w:tcW w:w="1242" w:type="dxa"/>
          </w:tcPr>
          <w:p w14:paraId="2AC9920F" w14:textId="77777777" w:rsidR="006B3FD8" w:rsidRDefault="006B3FD8" w:rsidP="00A25EB6"/>
        </w:tc>
      </w:tr>
      <w:tr w:rsidR="006B3FD8" w14:paraId="3789032D" w14:textId="77777777" w:rsidTr="00A25EB6">
        <w:tc>
          <w:tcPr>
            <w:tcW w:w="1526" w:type="dxa"/>
          </w:tcPr>
          <w:p w14:paraId="04466056" w14:textId="77777777" w:rsidR="006B3FD8" w:rsidRPr="00837277" w:rsidRDefault="006B3FD8" w:rsidP="00A25EB6">
            <w:pPr>
              <w:rPr>
                <w:b/>
                <w:sz w:val="18"/>
                <w:szCs w:val="18"/>
              </w:rPr>
            </w:pPr>
          </w:p>
        </w:tc>
        <w:tc>
          <w:tcPr>
            <w:tcW w:w="3118" w:type="dxa"/>
          </w:tcPr>
          <w:p w14:paraId="1AEA68A2" w14:textId="77777777" w:rsidR="006B3FD8" w:rsidRPr="00837277" w:rsidRDefault="006B3FD8" w:rsidP="00A25EB6">
            <w:pPr>
              <w:rPr>
                <w:sz w:val="20"/>
              </w:rPr>
            </w:pPr>
          </w:p>
        </w:tc>
        <w:tc>
          <w:tcPr>
            <w:tcW w:w="1560" w:type="dxa"/>
          </w:tcPr>
          <w:p w14:paraId="2DBCDAD5" w14:textId="77777777" w:rsidR="006B3FD8" w:rsidRPr="00837277" w:rsidRDefault="006B3FD8" w:rsidP="00A25EB6">
            <w:pPr>
              <w:rPr>
                <w:sz w:val="20"/>
              </w:rPr>
            </w:pPr>
          </w:p>
        </w:tc>
        <w:tc>
          <w:tcPr>
            <w:tcW w:w="1134" w:type="dxa"/>
          </w:tcPr>
          <w:p w14:paraId="4123D7E6" w14:textId="77777777" w:rsidR="006B3FD8" w:rsidRPr="00837277" w:rsidRDefault="006B3FD8" w:rsidP="00A25EB6">
            <w:pPr>
              <w:rPr>
                <w:sz w:val="20"/>
              </w:rPr>
            </w:pPr>
          </w:p>
        </w:tc>
        <w:tc>
          <w:tcPr>
            <w:tcW w:w="1134" w:type="dxa"/>
          </w:tcPr>
          <w:p w14:paraId="171E6714" w14:textId="77777777" w:rsidR="006B3FD8" w:rsidRPr="00837277" w:rsidRDefault="006B3FD8" w:rsidP="00A25EB6">
            <w:pPr>
              <w:rPr>
                <w:sz w:val="20"/>
              </w:rPr>
            </w:pPr>
          </w:p>
        </w:tc>
        <w:tc>
          <w:tcPr>
            <w:tcW w:w="992" w:type="dxa"/>
          </w:tcPr>
          <w:p w14:paraId="0465198D" w14:textId="77777777" w:rsidR="006B3FD8" w:rsidRPr="00837277" w:rsidRDefault="006B3FD8" w:rsidP="00A25EB6">
            <w:pPr>
              <w:rPr>
                <w:sz w:val="20"/>
              </w:rPr>
            </w:pPr>
          </w:p>
        </w:tc>
        <w:tc>
          <w:tcPr>
            <w:tcW w:w="1242" w:type="dxa"/>
          </w:tcPr>
          <w:p w14:paraId="3591DAF0" w14:textId="77777777" w:rsidR="006B3FD8" w:rsidRDefault="006B3FD8" w:rsidP="00A25EB6"/>
        </w:tc>
      </w:tr>
      <w:tr w:rsidR="006B3FD8" w14:paraId="0CEC5F6D" w14:textId="77777777" w:rsidTr="00A25EB6">
        <w:trPr>
          <w:trHeight w:val="218"/>
        </w:trPr>
        <w:tc>
          <w:tcPr>
            <w:tcW w:w="1526" w:type="dxa"/>
          </w:tcPr>
          <w:p w14:paraId="1E4BB4F5" w14:textId="77777777" w:rsidR="006B3FD8" w:rsidRPr="00837277" w:rsidRDefault="006B3FD8" w:rsidP="00A25EB6">
            <w:pPr>
              <w:rPr>
                <w:b/>
                <w:sz w:val="18"/>
                <w:szCs w:val="18"/>
              </w:rPr>
            </w:pPr>
          </w:p>
        </w:tc>
        <w:tc>
          <w:tcPr>
            <w:tcW w:w="3118" w:type="dxa"/>
          </w:tcPr>
          <w:p w14:paraId="5969EC26" w14:textId="77777777" w:rsidR="006B3FD8" w:rsidRPr="00837277" w:rsidRDefault="006B3FD8" w:rsidP="00A25EB6">
            <w:pPr>
              <w:rPr>
                <w:sz w:val="20"/>
              </w:rPr>
            </w:pPr>
          </w:p>
        </w:tc>
        <w:tc>
          <w:tcPr>
            <w:tcW w:w="1560" w:type="dxa"/>
          </w:tcPr>
          <w:p w14:paraId="4F956324" w14:textId="77777777" w:rsidR="006B3FD8" w:rsidRPr="00837277" w:rsidRDefault="006B3FD8" w:rsidP="00A25EB6">
            <w:pPr>
              <w:rPr>
                <w:sz w:val="20"/>
              </w:rPr>
            </w:pPr>
          </w:p>
        </w:tc>
        <w:tc>
          <w:tcPr>
            <w:tcW w:w="1134" w:type="dxa"/>
          </w:tcPr>
          <w:p w14:paraId="31094727" w14:textId="77777777" w:rsidR="006B3FD8" w:rsidRPr="00837277" w:rsidRDefault="006B3FD8" w:rsidP="00A25EB6">
            <w:pPr>
              <w:rPr>
                <w:sz w:val="20"/>
              </w:rPr>
            </w:pPr>
          </w:p>
        </w:tc>
        <w:tc>
          <w:tcPr>
            <w:tcW w:w="1134" w:type="dxa"/>
          </w:tcPr>
          <w:p w14:paraId="4BFB6C4C" w14:textId="77777777" w:rsidR="006B3FD8" w:rsidRPr="00837277" w:rsidRDefault="006B3FD8" w:rsidP="00A25EB6">
            <w:pPr>
              <w:rPr>
                <w:sz w:val="20"/>
              </w:rPr>
            </w:pPr>
          </w:p>
        </w:tc>
        <w:tc>
          <w:tcPr>
            <w:tcW w:w="992" w:type="dxa"/>
          </w:tcPr>
          <w:p w14:paraId="0776843E" w14:textId="77777777" w:rsidR="006B3FD8" w:rsidRPr="00837277" w:rsidRDefault="006B3FD8" w:rsidP="00A25EB6">
            <w:pPr>
              <w:rPr>
                <w:sz w:val="20"/>
              </w:rPr>
            </w:pPr>
          </w:p>
        </w:tc>
        <w:tc>
          <w:tcPr>
            <w:tcW w:w="1242" w:type="dxa"/>
          </w:tcPr>
          <w:p w14:paraId="68BBEFD3" w14:textId="77777777" w:rsidR="006B3FD8" w:rsidRDefault="006B3FD8" w:rsidP="00A25EB6"/>
        </w:tc>
      </w:tr>
      <w:tr w:rsidR="006B3FD8" w14:paraId="3FAD550A" w14:textId="77777777" w:rsidTr="00A25EB6">
        <w:trPr>
          <w:trHeight w:val="190"/>
        </w:trPr>
        <w:tc>
          <w:tcPr>
            <w:tcW w:w="1526" w:type="dxa"/>
          </w:tcPr>
          <w:p w14:paraId="6315900B" w14:textId="77777777" w:rsidR="006B3FD8" w:rsidRPr="00837277" w:rsidRDefault="006B3FD8" w:rsidP="00A25EB6">
            <w:pPr>
              <w:rPr>
                <w:b/>
                <w:sz w:val="18"/>
                <w:szCs w:val="18"/>
              </w:rPr>
            </w:pPr>
          </w:p>
        </w:tc>
        <w:tc>
          <w:tcPr>
            <w:tcW w:w="3118" w:type="dxa"/>
          </w:tcPr>
          <w:p w14:paraId="4D43DFB8" w14:textId="77777777" w:rsidR="006B3FD8" w:rsidRPr="00837277" w:rsidRDefault="006B3FD8" w:rsidP="00A25EB6">
            <w:pPr>
              <w:rPr>
                <w:sz w:val="20"/>
              </w:rPr>
            </w:pPr>
          </w:p>
        </w:tc>
        <w:tc>
          <w:tcPr>
            <w:tcW w:w="1560" w:type="dxa"/>
          </w:tcPr>
          <w:p w14:paraId="3FEA7AFF" w14:textId="77777777" w:rsidR="006B3FD8" w:rsidRPr="00837277" w:rsidRDefault="006B3FD8" w:rsidP="00A25EB6">
            <w:pPr>
              <w:rPr>
                <w:sz w:val="20"/>
              </w:rPr>
            </w:pPr>
          </w:p>
        </w:tc>
        <w:tc>
          <w:tcPr>
            <w:tcW w:w="1134" w:type="dxa"/>
          </w:tcPr>
          <w:p w14:paraId="217D6AB8" w14:textId="77777777" w:rsidR="006B3FD8" w:rsidRPr="00837277" w:rsidRDefault="006B3FD8" w:rsidP="00A25EB6">
            <w:pPr>
              <w:rPr>
                <w:sz w:val="20"/>
              </w:rPr>
            </w:pPr>
          </w:p>
        </w:tc>
        <w:tc>
          <w:tcPr>
            <w:tcW w:w="1134" w:type="dxa"/>
          </w:tcPr>
          <w:p w14:paraId="6373E5C4" w14:textId="77777777" w:rsidR="006B3FD8" w:rsidRPr="00837277" w:rsidRDefault="006B3FD8" w:rsidP="00A25EB6">
            <w:pPr>
              <w:rPr>
                <w:sz w:val="20"/>
              </w:rPr>
            </w:pPr>
          </w:p>
        </w:tc>
        <w:tc>
          <w:tcPr>
            <w:tcW w:w="992" w:type="dxa"/>
          </w:tcPr>
          <w:p w14:paraId="704270A2" w14:textId="77777777" w:rsidR="006B3FD8" w:rsidRPr="00837277" w:rsidRDefault="006B3FD8" w:rsidP="00A25EB6">
            <w:pPr>
              <w:rPr>
                <w:sz w:val="20"/>
              </w:rPr>
            </w:pPr>
          </w:p>
        </w:tc>
        <w:tc>
          <w:tcPr>
            <w:tcW w:w="1242" w:type="dxa"/>
          </w:tcPr>
          <w:p w14:paraId="3FE7EE4A" w14:textId="77777777" w:rsidR="006B3FD8" w:rsidRDefault="006B3FD8" w:rsidP="00A25EB6"/>
        </w:tc>
      </w:tr>
      <w:tr w:rsidR="006B3FD8" w14:paraId="3F78B8C3" w14:textId="77777777" w:rsidTr="00A25EB6">
        <w:tc>
          <w:tcPr>
            <w:tcW w:w="1526" w:type="dxa"/>
          </w:tcPr>
          <w:p w14:paraId="77A43766" w14:textId="77777777" w:rsidR="006B3FD8" w:rsidRPr="00837277" w:rsidRDefault="006B3FD8" w:rsidP="00A25EB6">
            <w:pPr>
              <w:rPr>
                <w:b/>
                <w:sz w:val="18"/>
                <w:szCs w:val="18"/>
              </w:rPr>
            </w:pPr>
          </w:p>
        </w:tc>
        <w:tc>
          <w:tcPr>
            <w:tcW w:w="3118" w:type="dxa"/>
          </w:tcPr>
          <w:p w14:paraId="71EE2AEE" w14:textId="77777777" w:rsidR="006B3FD8" w:rsidRPr="00837277" w:rsidRDefault="006B3FD8" w:rsidP="00A25EB6">
            <w:pPr>
              <w:rPr>
                <w:sz w:val="20"/>
              </w:rPr>
            </w:pPr>
          </w:p>
        </w:tc>
        <w:tc>
          <w:tcPr>
            <w:tcW w:w="1560" w:type="dxa"/>
          </w:tcPr>
          <w:p w14:paraId="58F1D56F" w14:textId="77777777" w:rsidR="006B3FD8" w:rsidRPr="00837277" w:rsidRDefault="006B3FD8" w:rsidP="00A25EB6">
            <w:pPr>
              <w:rPr>
                <w:sz w:val="20"/>
              </w:rPr>
            </w:pPr>
          </w:p>
        </w:tc>
        <w:tc>
          <w:tcPr>
            <w:tcW w:w="1134" w:type="dxa"/>
          </w:tcPr>
          <w:p w14:paraId="5095EF98" w14:textId="77777777" w:rsidR="006B3FD8" w:rsidRPr="00837277" w:rsidRDefault="006B3FD8" w:rsidP="00A25EB6">
            <w:pPr>
              <w:rPr>
                <w:sz w:val="20"/>
              </w:rPr>
            </w:pPr>
          </w:p>
        </w:tc>
        <w:tc>
          <w:tcPr>
            <w:tcW w:w="1134" w:type="dxa"/>
          </w:tcPr>
          <w:p w14:paraId="2315861E" w14:textId="77777777" w:rsidR="006B3FD8" w:rsidRPr="00837277" w:rsidRDefault="006B3FD8" w:rsidP="00A25EB6">
            <w:pPr>
              <w:rPr>
                <w:sz w:val="20"/>
              </w:rPr>
            </w:pPr>
          </w:p>
        </w:tc>
        <w:tc>
          <w:tcPr>
            <w:tcW w:w="992" w:type="dxa"/>
          </w:tcPr>
          <w:p w14:paraId="0BC6F5F5" w14:textId="77777777" w:rsidR="006B3FD8" w:rsidRPr="00837277" w:rsidRDefault="006B3FD8" w:rsidP="00A25EB6">
            <w:pPr>
              <w:rPr>
                <w:sz w:val="20"/>
              </w:rPr>
            </w:pPr>
          </w:p>
        </w:tc>
        <w:tc>
          <w:tcPr>
            <w:tcW w:w="1242" w:type="dxa"/>
          </w:tcPr>
          <w:p w14:paraId="6AD66F4C" w14:textId="77777777" w:rsidR="006B3FD8" w:rsidRDefault="006B3FD8" w:rsidP="00A25EB6"/>
        </w:tc>
      </w:tr>
      <w:tr w:rsidR="006B3FD8" w14:paraId="1931EC0E" w14:textId="77777777" w:rsidTr="00A25EB6">
        <w:tc>
          <w:tcPr>
            <w:tcW w:w="1526" w:type="dxa"/>
          </w:tcPr>
          <w:p w14:paraId="1554D7F3" w14:textId="77777777" w:rsidR="006B3FD8" w:rsidRPr="00837277" w:rsidRDefault="006B3FD8" w:rsidP="00A25EB6">
            <w:pPr>
              <w:rPr>
                <w:b/>
                <w:sz w:val="18"/>
                <w:szCs w:val="18"/>
              </w:rPr>
            </w:pPr>
          </w:p>
        </w:tc>
        <w:tc>
          <w:tcPr>
            <w:tcW w:w="3118" w:type="dxa"/>
          </w:tcPr>
          <w:p w14:paraId="72ED4736" w14:textId="77777777" w:rsidR="006B3FD8" w:rsidRPr="00837277" w:rsidRDefault="006B3FD8" w:rsidP="00A25EB6">
            <w:pPr>
              <w:rPr>
                <w:sz w:val="20"/>
              </w:rPr>
            </w:pPr>
          </w:p>
        </w:tc>
        <w:tc>
          <w:tcPr>
            <w:tcW w:w="1560" w:type="dxa"/>
          </w:tcPr>
          <w:p w14:paraId="13D1DCD4" w14:textId="77777777" w:rsidR="006B3FD8" w:rsidRPr="00837277" w:rsidRDefault="006B3FD8" w:rsidP="00A25EB6">
            <w:pPr>
              <w:rPr>
                <w:sz w:val="20"/>
              </w:rPr>
            </w:pPr>
          </w:p>
        </w:tc>
        <w:tc>
          <w:tcPr>
            <w:tcW w:w="1134" w:type="dxa"/>
          </w:tcPr>
          <w:p w14:paraId="75116E61" w14:textId="77777777" w:rsidR="006B3FD8" w:rsidRPr="00837277" w:rsidRDefault="006B3FD8" w:rsidP="00A25EB6">
            <w:pPr>
              <w:rPr>
                <w:sz w:val="20"/>
              </w:rPr>
            </w:pPr>
          </w:p>
        </w:tc>
        <w:tc>
          <w:tcPr>
            <w:tcW w:w="1134" w:type="dxa"/>
          </w:tcPr>
          <w:p w14:paraId="38C47660" w14:textId="77777777" w:rsidR="006B3FD8" w:rsidRPr="00837277" w:rsidRDefault="006B3FD8" w:rsidP="00A25EB6">
            <w:pPr>
              <w:rPr>
                <w:sz w:val="20"/>
              </w:rPr>
            </w:pPr>
          </w:p>
        </w:tc>
        <w:tc>
          <w:tcPr>
            <w:tcW w:w="992" w:type="dxa"/>
          </w:tcPr>
          <w:p w14:paraId="63FE1385" w14:textId="77777777" w:rsidR="006B3FD8" w:rsidRPr="00837277" w:rsidRDefault="006B3FD8" w:rsidP="00A25EB6">
            <w:pPr>
              <w:rPr>
                <w:sz w:val="20"/>
              </w:rPr>
            </w:pPr>
          </w:p>
        </w:tc>
        <w:tc>
          <w:tcPr>
            <w:tcW w:w="1242" w:type="dxa"/>
          </w:tcPr>
          <w:p w14:paraId="253FBC92" w14:textId="77777777" w:rsidR="006B3FD8" w:rsidRDefault="006B3FD8" w:rsidP="00A25EB6"/>
        </w:tc>
      </w:tr>
    </w:tbl>
    <w:p w14:paraId="2FFC7D3A" w14:textId="77777777" w:rsidR="00614917" w:rsidRPr="00AC5366" w:rsidRDefault="00614917" w:rsidP="00614917">
      <w:pPr>
        <w:rPr>
          <w:sz w:val="22"/>
          <w:szCs w:val="22"/>
        </w:rPr>
      </w:pPr>
    </w:p>
    <w:p w14:paraId="7556BF41" w14:textId="77777777" w:rsidR="00A46ED6" w:rsidRDefault="00A46ED6" w:rsidP="00A46ED6">
      <w:pPr>
        <w:jc w:val="center"/>
        <w:rPr>
          <w:rFonts w:ascii="Arial" w:hAnsi="Arial" w:cs="Arial"/>
          <w:b/>
          <w:sz w:val="20"/>
          <w:szCs w:val="24"/>
          <w:lang w:eastAsia="en-AU"/>
        </w:rPr>
      </w:pPr>
    </w:p>
    <w:p w14:paraId="2B39A5B6" w14:textId="77777777" w:rsidR="006B3FD8" w:rsidRDefault="006B3FD8" w:rsidP="00A46ED6">
      <w:pPr>
        <w:jc w:val="center"/>
        <w:rPr>
          <w:rFonts w:ascii="Arial" w:hAnsi="Arial" w:cs="Arial"/>
          <w:b/>
          <w:sz w:val="20"/>
          <w:szCs w:val="24"/>
          <w:lang w:eastAsia="en-AU"/>
        </w:rPr>
      </w:pPr>
    </w:p>
    <w:p w14:paraId="5D96FBAD" w14:textId="77777777" w:rsidR="006B3FD8" w:rsidRPr="00A46ED6" w:rsidRDefault="006B3FD8"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sectPr w:rsidR="00340508"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64F40157" w14:textId="0A18D76D" w:rsidR="00204034" w:rsidRDefault="00204034" w:rsidP="00204034">
    <w:pPr>
      <w:pStyle w:val="Footer"/>
    </w:pPr>
    <w:r>
      <w:rPr>
        <w:rFonts w:ascii="Tahoma" w:hAnsi="Tahoma" w:cs="Tahoma"/>
        <w:sz w:val="18"/>
      </w:rPr>
      <w:t xml:space="preserve">CVD V1 </w:t>
    </w:r>
    <w:r w:rsidRPr="007E4D16">
      <w:rPr>
        <w:rFonts w:ascii="Tahoma" w:hAnsi="Tahoma" w:cs="Tahoma"/>
        <w:sz w:val="18"/>
      </w:rPr>
      <w:t>06032020</w:t>
    </w:r>
    <w:r>
      <w:rPr>
        <w:rFonts w:ascii="Tahoma" w:hAnsi="Tahoma" w:cs="Tahoma"/>
        <w:sz w:val="18"/>
      </w:rPr>
      <w:t xml:space="preserve"> </w:t>
    </w:r>
    <w:proofErr w:type="spellStart"/>
    <w:r>
      <w:rPr>
        <w:rFonts w:ascii="Tahoma" w:hAnsi="Tahoma" w:cs="Tahoma"/>
        <w:sz w:val="18"/>
      </w:rPr>
      <w:t>BovSem</w:t>
    </w:r>
    <w:proofErr w:type="spellEnd"/>
    <w:r>
      <w:rPr>
        <w:rFonts w:ascii="Tahoma" w:hAnsi="Tahoma" w:cs="Tahoma"/>
        <w:sz w:val="18"/>
      </w:rPr>
      <w:t xml:space="preserve"> Col                                                                                                                    </w:t>
    </w:r>
  </w:p>
  <w:p w14:paraId="001B1755" w14:textId="7A1DD151" w:rsidR="003F683E" w:rsidRPr="006F61C3" w:rsidRDefault="003F683E" w:rsidP="00204034">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204034">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204034">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FC0630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0F87369"/>
    <w:multiLevelType w:val="multilevel"/>
    <w:tmpl w:val="EFBE05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C684A3D"/>
    <w:multiLevelType w:val="hybridMultilevel"/>
    <w:tmpl w:val="AD1CAA3C"/>
    <w:lvl w:ilvl="0" w:tplc="1526A18E">
      <w:start w:val="1"/>
      <w:numFmt w:val="bullet"/>
      <w:lvlText w:val="*"/>
      <w:lvlJc w:val="left"/>
      <w:pPr>
        <w:ind w:left="1440" w:hanging="360"/>
      </w:pPr>
      <w:rPr>
        <w:rFonts w:ascii="Calibri" w:hAnsi="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9F5371"/>
    <w:multiLevelType w:val="hybridMultilevel"/>
    <w:tmpl w:val="9F306F7C"/>
    <w:lvl w:ilvl="0" w:tplc="1526A18E">
      <w:start w:val="1"/>
      <w:numFmt w:val="bullet"/>
      <w:lvlText w:val="*"/>
      <w:lvlJc w:val="left"/>
      <w:pPr>
        <w:ind w:left="1440" w:hanging="360"/>
      </w:pPr>
      <w:rPr>
        <w:rFonts w:ascii="Calibri" w:hAnsi="Calibri" w:hint="default"/>
      </w:rPr>
    </w:lvl>
    <w:lvl w:ilvl="1" w:tplc="1526A18E">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16"/>
  </w:num>
  <w:num w:numId="5">
    <w:abstractNumId w:val="19"/>
  </w:num>
  <w:num w:numId="6">
    <w:abstractNumId w:val="3"/>
  </w:num>
  <w:num w:numId="7">
    <w:abstractNumId w:val="17"/>
  </w:num>
  <w:num w:numId="8">
    <w:abstractNumId w:val="4"/>
  </w:num>
  <w:num w:numId="9">
    <w:abstractNumId w:val="6"/>
  </w:num>
  <w:num w:numId="10">
    <w:abstractNumId w:val="11"/>
  </w:num>
  <w:num w:numId="11">
    <w:abstractNumId w:val="2"/>
  </w:num>
  <w:num w:numId="12">
    <w:abstractNumId w:val="12"/>
  </w:num>
  <w:num w:numId="13">
    <w:abstractNumId w:val="14"/>
  </w:num>
  <w:num w:numId="14">
    <w:abstractNumId w:val="0"/>
  </w:num>
  <w:num w:numId="15">
    <w:abstractNumId w:val="5"/>
  </w:num>
  <w:num w:numId="16">
    <w:abstractNumId w:val="8"/>
  </w:num>
  <w:num w:numId="17">
    <w:abstractNumId w:val="1"/>
  </w:num>
  <w:num w:numId="18">
    <w:abstractNumId w:val="9"/>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91A66"/>
    <w:rsid w:val="001C1487"/>
    <w:rsid w:val="001C553F"/>
    <w:rsid w:val="001E1D1B"/>
    <w:rsid w:val="001F50BA"/>
    <w:rsid w:val="00204034"/>
    <w:rsid w:val="002068BA"/>
    <w:rsid w:val="00220D8E"/>
    <w:rsid w:val="002219DE"/>
    <w:rsid w:val="00225B06"/>
    <w:rsid w:val="002361A3"/>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4DBE"/>
    <w:rsid w:val="0046525F"/>
    <w:rsid w:val="004753E5"/>
    <w:rsid w:val="0048095A"/>
    <w:rsid w:val="004858D4"/>
    <w:rsid w:val="0048788E"/>
    <w:rsid w:val="004B6166"/>
    <w:rsid w:val="004E7D36"/>
    <w:rsid w:val="004F1EF8"/>
    <w:rsid w:val="004F468E"/>
    <w:rsid w:val="005055B2"/>
    <w:rsid w:val="005060A0"/>
    <w:rsid w:val="005236D4"/>
    <w:rsid w:val="00532B5A"/>
    <w:rsid w:val="00533C9D"/>
    <w:rsid w:val="005538CF"/>
    <w:rsid w:val="005755CC"/>
    <w:rsid w:val="00576C42"/>
    <w:rsid w:val="005A5EF0"/>
    <w:rsid w:val="005C1A97"/>
    <w:rsid w:val="005D748E"/>
    <w:rsid w:val="005F4E11"/>
    <w:rsid w:val="005F6D21"/>
    <w:rsid w:val="006037AF"/>
    <w:rsid w:val="00614917"/>
    <w:rsid w:val="006209BD"/>
    <w:rsid w:val="006242FD"/>
    <w:rsid w:val="00636429"/>
    <w:rsid w:val="006403C4"/>
    <w:rsid w:val="00675F92"/>
    <w:rsid w:val="006B169D"/>
    <w:rsid w:val="006B3FD8"/>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D783F"/>
    <w:rsid w:val="009E2251"/>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AD6EB4"/>
    <w:rsid w:val="00B0571F"/>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Colombia (CO)</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C19D86-8C70-4F3B-A2A6-B6377DB5FE72}"/>
</file>

<file path=customXml/itemProps2.xml><?xml version="1.0" encoding="utf-8"?>
<ds:datastoreItem xmlns:ds="http://schemas.openxmlformats.org/officeDocument/2006/customXml" ds:itemID="{6E6D1A15-3921-4F52-8222-BA7F0DC8BAEA}"/>
</file>

<file path=customXml/itemProps3.xml><?xml version="1.0" encoding="utf-8"?>
<ds:datastoreItem xmlns:ds="http://schemas.openxmlformats.org/officeDocument/2006/customXml" ds:itemID="{E704004D-374A-45D5-A390-2A6A5E8463D9}"/>
</file>

<file path=docProps/app.xml><?xml version="1.0" encoding="utf-8"?>
<Properties xmlns="http://schemas.openxmlformats.org/officeDocument/2006/extended-properties" xmlns:vt="http://schemas.openxmlformats.org/officeDocument/2006/docPropsVTypes">
  <Template>Normal.dotm</Template>
  <TotalTime>0</TotalTime>
  <Pages>8</Pages>
  <Words>1944</Words>
  <Characters>10636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 Colombia bovine semen</dc:title>
  <dc:creator/>
  <cp:lastModifiedBy/>
  <cp:revision>1</cp:revision>
  <dcterms:created xsi:type="dcterms:W3CDTF">2022-08-08T22:52:00Z</dcterms:created>
  <dcterms:modified xsi:type="dcterms:W3CDTF">2022-08-08T22:52:00Z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